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702" w:rsidRDefault="00871FAC" w:rsidP="00D97702">
      <w:pPr>
        <w:jc w:val="center"/>
        <w:rPr>
          <w:b/>
          <w:sz w:val="28"/>
          <w:szCs w:val="28"/>
        </w:rPr>
      </w:pPr>
      <w:r>
        <w:rPr>
          <w:b/>
          <w:sz w:val="28"/>
          <w:szCs w:val="28"/>
        </w:rPr>
        <w:t xml:space="preserve">PENGARUH LIKUIDITAS, WAKTU JATUH TEMPO, </w:t>
      </w:r>
    </w:p>
    <w:p w:rsidR="00D97702" w:rsidRDefault="00871FAC" w:rsidP="00D97702">
      <w:pPr>
        <w:jc w:val="center"/>
        <w:rPr>
          <w:b/>
          <w:sz w:val="28"/>
          <w:szCs w:val="28"/>
        </w:rPr>
      </w:pPr>
      <w:r>
        <w:rPr>
          <w:b/>
          <w:sz w:val="28"/>
          <w:szCs w:val="28"/>
        </w:rPr>
        <w:t xml:space="preserve">DAN KUPON OBLIGASI TERHADAP </w:t>
      </w:r>
    </w:p>
    <w:p w:rsidR="00D97702" w:rsidRDefault="00871FAC" w:rsidP="00D97702">
      <w:pPr>
        <w:jc w:val="center"/>
        <w:rPr>
          <w:b/>
          <w:sz w:val="28"/>
          <w:szCs w:val="28"/>
        </w:rPr>
      </w:pPr>
      <w:r>
        <w:rPr>
          <w:b/>
          <w:sz w:val="28"/>
          <w:szCs w:val="28"/>
        </w:rPr>
        <w:t xml:space="preserve">PERUBAHAN HARGA OBLIGASI </w:t>
      </w:r>
      <w:r w:rsidR="00B6138B">
        <w:rPr>
          <w:b/>
          <w:sz w:val="28"/>
          <w:szCs w:val="28"/>
        </w:rPr>
        <w:t>KORPORASI</w:t>
      </w:r>
    </w:p>
    <w:p w:rsidR="00D17078" w:rsidRDefault="00871FAC" w:rsidP="00D97702">
      <w:pPr>
        <w:jc w:val="center"/>
        <w:rPr>
          <w:b/>
          <w:sz w:val="28"/>
          <w:szCs w:val="28"/>
        </w:rPr>
      </w:pPr>
      <w:r>
        <w:rPr>
          <w:b/>
          <w:sz w:val="28"/>
          <w:szCs w:val="28"/>
        </w:rPr>
        <w:t>BERPERINGKAT RENDAH DAN BERPERINGKAT TINGGI</w:t>
      </w:r>
    </w:p>
    <w:p w:rsidR="00871FAC" w:rsidRDefault="00871FAC" w:rsidP="00871FAC">
      <w:pPr>
        <w:jc w:val="center"/>
        <w:rPr>
          <w:b/>
          <w:sz w:val="28"/>
          <w:szCs w:val="28"/>
        </w:rPr>
      </w:pPr>
    </w:p>
    <w:p w:rsidR="00871FAC" w:rsidRDefault="00871FAC" w:rsidP="00871FAC">
      <w:pPr>
        <w:jc w:val="center"/>
        <w:rPr>
          <w:b/>
        </w:rPr>
      </w:pPr>
      <w:r>
        <w:rPr>
          <w:b/>
        </w:rPr>
        <w:t>Vikaria Ekak</w:t>
      </w:r>
      <w:r w:rsidR="00D97702">
        <w:rPr>
          <w:b/>
          <w:vertAlign w:val="superscript"/>
        </w:rPr>
        <w:t>1</w:t>
      </w:r>
    </w:p>
    <w:p w:rsidR="00D97702" w:rsidRPr="00D97702" w:rsidRDefault="00D97702" w:rsidP="00871FAC">
      <w:pPr>
        <w:jc w:val="center"/>
        <w:rPr>
          <w:b/>
          <w:vertAlign w:val="superscript"/>
        </w:rPr>
      </w:pPr>
      <w:r>
        <w:rPr>
          <w:b/>
        </w:rPr>
        <w:t>Nyoman Abundanti</w:t>
      </w:r>
      <w:r>
        <w:rPr>
          <w:b/>
          <w:vertAlign w:val="superscript"/>
        </w:rPr>
        <w:t>2</w:t>
      </w:r>
    </w:p>
    <w:p w:rsidR="00871FAC" w:rsidRDefault="00871FAC" w:rsidP="00871FAC">
      <w:pPr>
        <w:jc w:val="center"/>
        <w:rPr>
          <w:b/>
        </w:rPr>
      </w:pPr>
    </w:p>
    <w:p w:rsidR="00871FAC" w:rsidRPr="00871FAC" w:rsidRDefault="00D97702" w:rsidP="00871FAC">
      <w:pPr>
        <w:jc w:val="center"/>
      </w:pPr>
      <w:r>
        <w:rPr>
          <w:vertAlign w:val="superscript"/>
        </w:rPr>
        <w:t>1</w:t>
      </w:r>
      <w:r w:rsidR="00871FAC" w:rsidRPr="00871FAC">
        <w:t>Fakultas Ekonomi Universitas Udayana (Unud), Bali, Indonesia</w:t>
      </w:r>
    </w:p>
    <w:p w:rsidR="00871FAC" w:rsidRDefault="00871FAC" w:rsidP="00871FAC">
      <w:pPr>
        <w:jc w:val="center"/>
      </w:pPr>
      <w:proofErr w:type="gramStart"/>
      <w:r w:rsidRPr="00871FAC">
        <w:t>e-mail</w:t>
      </w:r>
      <w:proofErr w:type="gramEnd"/>
      <w:r w:rsidRPr="00871FAC">
        <w:t xml:space="preserve">: </w:t>
      </w:r>
      <w:hyperlink r:id="rId7" w:history="1">
        <w:r w:rsidRPr="00871FAC">
          <w:rPr>
            <w:rStyle w:val="Hyperlink"/>
            <w:color w:val="auto"/>
            <w:u w:val="none"/>
          </w:rPr>
          <w:t>Vikaria1992@gmail.com</w:t>
        </w:r>
      </w:hyperlink>
      <w:r w:rsidR="009279E3">
        <w:t xml:space="preserve"> / telp: +62 85 85 75 10</w:t>
      </w:r>
      <w:r w:rsidRPr="00871FAC">
        <w:t xml:space="preserve"> </w:t>
      </w:r>
      <w:r w:rsidR="009279E3">
        <w:t>5</w:t>
      </w:r>
      <w:r w:rsidRPr="00871FAC">
        <w:t>96</w:t>
      </w:r>
    </w:p>
    <w:p w:rsidR="00D97702" w:rsidRPr="00D97702" w:rsidRDefault="00D97702" w:rsidP="00871FAC">
      <w:pPr>
        <w:jc w:val="center"/>
      </w:pPr>
      <w:r>
        <w:rPr>
          <w:vertAlign w:val="superscript"/>
        </w:rPr>
        <w:t>2</w:t>
      </w:r>
      <w:r>
        <w:t xml:space="preserve">Fakultas Ekonomi </w:t>
      </w:r>
      <w:r w:rsidR="002A7FD2">
        <w:t xml:space="preserve">dan Bisnis </w:t>
      </w:r>
      <w:bookmarkStart w:id="0" w:name="_GoBack"/>
      <w:bookmarkEnd w:id="0"/>
      <w:r>
        <w:t>Universitas Udayana (Unud), Bali, Indonesia</w:t>
      </w:r>
    </w:p>
    <w:p w:rsidR="00D97702" w:rsidRDefault="00D97702" w:rsidP="00871FAC">
      <w:pPr>
        <w:jc w:val="center"/>
      </w:pPr>
    </w:p>
    <w:p w:rsidR="00F37888" w:rsidRPr="00053C7F" w:rsidRDefault="00D97702" w:rsidP="00053C7F">
      <w:pPr>
        <w:jc w:val="center"/>
        <w:rPr>
          <w:b/>
        </w:rPr>
      </w:pPr>
      <w:r w:rsidRPr="0015372B">
        <w:rPr>
          <w:b/>
        </w:rPr>
        <w:t>ABSTRAK</w:t>
      </w:r>
    </w:p>
    <w:p w:rsidR="0015372B" w:rsidRPr="00053C7F" w:rsidRDefault="001249DA" w:rsidP="0015372B">
      <w:pPr>
        <w:jc w:val="both"/>
        <w:rPr>
          <w:sz w:val="20"/>
          <w:szCs w:val="20"/>
        </w:rPr>
      </w:pPr>
      <w:proofErr w:type="gramStart"/>
      <w:r>
        <w:rPr>
          <w:sz w:val="20"/>
          <w:szCs w:val="20"/>
        </w:rPr>
        <w:t>Penelitian ini bertujuan</w:t>
      </w:r>
      <w:r w:rsidR="0015372B" w:rsidRPr="0015372B">
        <w:rPr>
          <w:sz w:val="20"/>
          <w:szCs w:val="20"/>
        </w:rPr>
        <w:t xml:space="preserve"> untuk mengetahui pengaruh likuiditas, waktu jatuh tempo, dan kupon obligasi terhadap perubahan harga obligasi korporasi berperingkat rendah dan berperingkat tinggi</w:t>
      </w:r>
      <w:r w:rsidR="0015372B" w:rsidRPr="00053C7F">
        <w:rPr>
          <w:sz w:val="20"/>
          <w:szCs w:val="20"/>
        </w:rPr>
        <w:t>.</w:t>
      </w:r>
      <w:proofErr w:type="gramEnd"/>
      <w:r w:rsidR="00053C7F" w:rsidRPr="00053C7F">
        <w:rPr>
          <w:sz w:val="20"/>
          <w:szCs w:val="20"/>
        </w:rPr>
        <w:t xml:space="preserve"> Penelitian ini dilakukan pada perusahaan-perusahaan yang menerbitkan obligasi korporasi di Bursa Efek Indonesia pada kuartal 1 tahun 2010 hingga kuartal 2 tahun 2011. </w:t>
      </w:r>
      <w:proofErr w:type="gramStart"/>
      <w:r w:rsidR="00053C7F" w:rsidRPr="00053C7F">
        <w:rPr>
          <w:sz w:val="20"/>
          <w:szCs w:val="20"/>
        </w:rPr>
        <w:t>Jumlah sampel yang digunakan pada penelitian ini sebanyak 9 obligasi dengan peringkat rendah, dan 9 obligasi dengan peringkat tinggi.</w:t>
      </w:r>
      <w:proofErr w:type="gramEnd"/>
      <w:r w:rsidR="00053C7F" w:rsidRPr="00053C7F">
        <w:rPr>
          <w:sz w:val="20"/>
          <w:szCs w:val="20"/>
        </w:rPr>
        <w:t xml:space="preserve"> </w:t>
      </w:r>
      <w:proofErr w:type="gramStart"/>
      <w:r w:rsidR="00053C7F" w:rsidRPr="00053C7F">
        <w:rPr>
          <w:sz w:val="20"/>
          <w:szCs w:val="20"/>
        </w:rPr>
        <w:t xml:space="preserve">Berdasarkan hasil analisis ditemukan bahwa likuiditas tidak berpengaruh signifikan terhadap perubahan harga obligasi berperingkat rendah, namun berpengaruh positif dan signifikan terhadap perubahan harga obligasi </w:t>
      </w:r>
      <w:r w:rsidR="002545AD">
        <w:rPr>
          <w:sz w:val="20"/>
          <w:szCs w:val="20"/>
        </w:rPr>
        <w:t>korporasi berperingkat tinggi.</w:t>
      </w:r>
      <w:proofErr w:type="gramEnd"/>
      <w:r w:rsidR="002545AD">
        <w:rPr>
          <w:sz w:val="20"/>
          <w:szCs w:val="20"/>
        </w:rPr>
        <w:t xml:space="preserve"> </w:t>
      </w:r>
      <w:proofErr w:type="gramStart"/>
      <w:r w:rsidR="002545AD">
        <w:rPr>
          <w:sz w:val="20"/>
          <w:szCs w:val="20"/>
        </w:rPr>
        <w:t>Jangka w</w:t>
      </w:r>
      <w:r w:rsidR="00053C7F" w:rsidRPr="00053C7F">
        <w:rPr>
          <w:sz w:val="20"/>
          <w:szCs w:val="20"/>
        </w:rPr>
        <w:t>aktu jatuh tempo berpengaruh negatif dan signifikan terhadap perubahan harga obligasi berperingkat rendah, namun tidak berpengaruh signifikan terhadap perubahan harga obligasi berperingkat tinggi.</w:t>
      </w:r>
      <w:proofErr w:type="gramEnd"/>
      <w:r w:rsidR="00053C7F" w:rsidRPr="00053C7F">
        <w:rPr>
          <w:sz w:val="20"/>
          <w:szCs w:val="20"/>
        </w:rPr>
        <w:t xml:space="preserve"> </w:t>
      </w:r>
      <w:proofErr w:type="gramStart"/>
      <w:r w:rsidR="00053C7F" w:rsidRPr="00053C7F">
        <w:rPr>
          <w:sz w:val="20"/>
          <w:szCs w:val="20"/>
        </w:rPr>
        <w:t>Kupon tidak berpengaruh signifikan terhadap perubahan harga obligasi berperingkat rendah, namun berpengaruh positif dan signifikan terhadap perubahan harga obligasi berperingkat tinggi.</w:t>
      </w:r>
      <w:proofErr w:type="gramEnd"/>
    </w:p>
    <w:p w:rsidR="0015372B" w:rsidRDefault="00053C7F" w:rsidP="0015372B">
      <w:pPr>
        <w:jc w:val="both"/>
        <w:rPr>
          <w:i/>
          <w:sz w:val="20"/>
          <w:szCs w:val="20"/>
        </w:rPr>
      </w:pPr>
      <w:r w:rsidRPr="00F8126B">
        <w:rPr>
          <w:b/>
          <w:i/>
          <w:sz w:val="20"/>
          <w:szCs w:val="20"/>
        </w:rPr>
        <w:t xml:space="preserve">Kata kunci: </w:t>
      </w:r>
      <w:r w:rsidRPr="00F8126B">
        <w:rPr>
          <w:i/>
          <w:sz w:val="20"/>
          <w:szCs w:val="20"/>
        </w:rPr>
        <w:t>lik</w:t>
      </w:r>
      <w:r w:rsidRPr="00053C7F">
        <w:rPr>
          <w:i/>
          <w:sz w:val="20"/>
          <w:szCs w:val="20"/>
        </w:rPr>
        <w:t xml:space="preserve">uiditas, waktu jatuh tempo, </w:t>
      </w:r>
      <w:r w:rsidR="00986E3D">
        <w:rPr>
          <w:i/>
          <w:sz w:val="20"/>
          <w:szCs w:val="20"/>
        </w:rPr>
        <w:t xml:space="preserve">kupon, </w:t>
      </w:r>
      <w:r w:rsidRPr="00053C7F">
        <w:rPr>
          <w:i/>
          <w:sz w:val="20"/>
          <w:szCs w:val="20"/>
        </w:rPr>
        <w:t>perubahan harga obligasi</w:t>
      </w:r>
    </w:p>
    <w:p w:rsidR="00053C7F" w:rsidRPr="00053C7F" w:rsidRDefault="00053C7F" w:rsidP="0015372B">
      <w:pPr>
        <w:jc w:val="both"/>
        <w:rPr>
          <w:i/>
          <w:sz w:val="20"/>
          <w:szCs w:val="20"/>
        </w:rPr>
      </w:pPr>
    </w:p>
    <w:p w:rsidR="00F37888" w:rsidRPr="0015372B" w:rsidRDefault="00F37888" w:rsidP="00871FAC">
      <w:pPr>
        <w:jc w:val="center"/>
        <w:rPr>
          <w:b/>
          <w:i/>
        </w:rPr>
      </w:pPr>
      <w:r w:rsidRPr="0015372B">
        <w:rPr>
          <w:b/>
          <w:i/>
        </w:rPr>
        <w:t>ABSTRACT</w:t>
      </w:r>
    </w:p>
    <w:p w:rsidR="00153E17" w:rsidRPr="00986E3D" w:rsidRDefault="00F8126B" w:rsidP="00F8126B">
      <w:pPr>
        <w:jc w:val="both"/>
        <w:rPr>
          <w:sz w:val="20"/>
          <w:szCs w:val="20"/>
        </w:rPr>
      </w:pPr>
      <w:r w:rsidRPr="00986E3D">
        <w:rPr>
          <w:sz w:val="20"/>
          <w:szCs w:val="20"/>
        </w:rPr>
        <w:t>The purpose of this study was to determine the effect of liquidity, maturity, and coupon bonds to changes in prices low rated corporate bonds and high rated</w:t>
      </w:r>
      <w:r w:rsidR="0069015F">
        <w:rPr>
          <w:sz w:val="20"/>
          <w:szCs w:val="20"/>
        </w:rPr>
        <w:t xml:space="preserve"> corporate bonds</w:t>
      </w:r>
      <w:r w:rsidRPr="00986E3D">
        <w:rPr>
          <w:sz w:val="20"/>
          <w:szCs w:val="20"/>
        </w:rPr>
        <w:t>. This research was conducted at the companies</w:t>
      </w:r>
      <w:r w:rsidR="009F11EA">
        <w:rPr>
          <w:sz w:val="20"/>
          <w:szCs w:val="20"/>
        </w:rPr>
        <w:t xml:space="preserve"> which</w:t>
      </w:r>
      <w:r w:rsidRPr="00986E3D">
        <w:rPr>
          <w:sz w:val="20"/>
          <w:szCs w:val="20"/>
        </w:rPr>
        <w:t xml:space="preserve"> issuing corporate bonds in the Indonesia Stock Exchange in the first quarter of 2010 until the second quarter of 2011. The samples used in this study were 9 bonds with low ratings, and 9 bonds with high ratings. Based on the results of the analysis found that liquidity does not significantly influence changes in bond prices is rated low, but positive and significant impact on price changes of high rated corporate bonds. Maturity significantly and negatively related to changes in the price of bonds rated lower, but not significantly influence changes in bond prices is rated high. Coupon not significantly influence changes in bond prices is rated low, but positive and significant effect on changes in bond prices is rated high.</w:t>
      </w:r>
    </w:p>
    <w:p w:rsidR="00F37888" w:rsidRPr="00986E3D" w:rsidRDefault="00986E3D" w:rsidP="00986E3D">
      <w:pPr>
        <w:jc w:val="both"/>
        <w:rPr>
          <w:i/>
          <w:sz w:val="20"/>
          <w:szCs w:val="20"/>
        </w:rPr>
      </w:pPr>
      <w:r w:rsidRPr="00986E3D">
        <w:rPr>
          <w:b/>
          <w:i/>
          <w:sz w:val="20"/>
          <w:szCs w:val="20"/>
        </w:rPr>
        <w:t>Keywords:</w:t>
      </w:r>
      <w:r w:rsidRPr="00986E3D">
        <w:rPr>
          <w:i/>
          <w:sz w:val="20"/>
          <w:szCs w:val="20"/>
        </w:rPr>
        <w:t xml:space="preserve"> liquidity, maturity, coupon, </w:t>
      </w:r>
      <w:r w:rsidR="0069015F">
        <w:rPr>
          <w:i/>
          <w:sz w:val="20"/>
          <w:szCs w:val="20"/>
        </w:rPr>
        <w:t>bond prices</w:t>
      </w:r>
    </w:p>
    <w:p w:rsidR="00820C69" w:rsidRDefault="00820C69" w:rsidP="00153E17">
      <w:pPr>
        <w:spacing w:line="480" w:lineRule="auto"/>
        <w:jc w:val="both"/>
        <w:rPr>
          <w:b/>
        </w:rPr>
      </w:pPr>
    </w:p>
    <w:p w:rsidR="00F37888" w:rsidRDefault="00F37888" w:rsidP="00153E17">
      <w:pPr>
        <w:spacing w:line="480" w:lineRule="auto"/>
        <w:jc w:val="both"/>
        <w:rPr>
          <w:b/>
        </w:rPr>
      </w:pPr>
      <w:r w:rsidRPr="00F37888">
        <w:rPr>
          <w:b/>
        </w:rPr>
        <w:t>PENDAHULUAN</w:t>
      </w:r>
    </w:p>
    <w:p w:rsidR="00565A0F" w:rsidRDefault="00153E17" w:rsidP="00565A0F">
      <w:pPr>
        <w:spacing w:line="480" w:lineRule="auto"/>
        <w:ind w:firstLine="567"/>
        <w:jc w:val="both"/>
        <w:rPr>
          <w:iCs/>
        </w:rPr>
      </w:pPr>
      <w:proofErr w:type="gramStart"/>
      <w:r>
        <w:t>Berbagai macam kebutuhan manusia dipenuhi dengan melakukan sejumlah aktivitas atau pekerjaan yang mampu memberikan imbal hasil lebih atau memiliki manfaat tersendiri baginya.</w:t>
      </w:r>
      <w:proofErr w:type="gramEnd"/>
      <w:r>
        <w:t xml:space="preserve"> </w:t>
      </w:r>
      <w:proofErr w:type="gramStart"/>
      <w:r w:rsidR="0023027E">
        <w:t>A</w:t>
      </w:r>
      <w:r>
        <w:t xml:space="preserve">ktivitas bisnis yang dapat dilakukan adalah dengan </w:t>
      </w:r>
      <w:r>
        <w:lastRenderedPageBreak/>
        <w:t>berinvestasi.</w:t>
      </w:r>
      <w:proofErr w:type="gramEnd"/>
      <w:r w:rsidR="0023027E">
        <w:t xml:space="preserve"> </w:t>
      </w:r>
      <w:proofErr w:type="gramStart"/>
      <w:r w:rsidR="0023027E" w:rsidRPr="00362768">
        <w:t>Investasi dapat dilakukan melalui berbag</w:t>
      </w:r>
      <w:r w:rsidR="0023027E">
        <w:t xml:space="preserve">ai macam instrumen salah satu investasi yang tengah berkembang di Indonesia </w:t>
      </w:r>
      <w:r w:rsidR="0023027E" w:rsidRPr="00362768">
        <w:rPr>
          <w:iCs/>
        </w:rPr>
        <w:t>menurut ADB (</w:t>
      </w:r>
      <w:r w:rsidR="0023027E" w:rsidRPr="00362768">
        <w:rPr>
          <w:i/>
          <w:iCs/>
        </w:rPr>
        <w:t>Asian Development Bank</w:t>
      </w:r>
      <w:r w:rsidR="0023027E" w:rsidRPr="00362768">
        <w:rPr>
          <w:iCs/>
        </w:rPr>
        <w:t xml:space="preserve">) </w:t>
      </w:r>
      <w:r w:rsidR="0023027E">
        <w:rPr>
          <w:iCs/>
        </w:rPr>
        <w:t>adalah obligasi.</w:t>
      </w:r>
      <w:proofErr w:type="gramEnd"/>
      <w:r w:rsidR="0023027E">
        <w:rPr>
          <w:iCs/>
        </w:rPr>
        <w:t xml:space="preserve"> </w:t>
      </w:r>
      <w:r w:rsidR="00BE63E3">
        <w:rPr>
          <w:bCs/>
          <w:iCs/>
        </w:rPr>
        <w:t xml:space="preserve">Berdasarkan data statistik yang diolah oleh Bursa Efek Indonesia (BEI) dan dilaporkan melalui </w:t>
      </w:r>
      <w:r w:rsidR="00BE63E3" w:rsidRPr="009E3C91">
        <w:rPr>
          <w:bCs/>
          <w:i/>
          <w:iCs/>
        </w:rPr>
        <w:t>Centralized Trading Platform</w:t>
      </w:r>
      <w:r w:rsidR="00BE63E3">
        <w:rPr>
          <w:bCs/>
          <w:iCs/>
        </w:rPr>
        <w:t xml:space="preserve"> (CYP) pada semester kedua pada tahun 2011, rata-rata nilai transaksi per hari dalam satu semester transksi obligasi korporasi adalah sebesar US$ </w:t>
      </w:r>
      <w:r w:rsidR="00BE63E3">
        <w:rPr>
          <w:bCs/>
        </w:rPr>
        <w:t>0,</w:t>
      </w:r>
      <w:r w:rsidR="00BE63E3" w:rsidRPr="00F316C8">
        <w:rPr>
          <w:bCs/>
        </w:rPr>
        <w:t>0004</w:t>
      </w:r>
      <w:r w:rsidR="00BE63E3">
        <w:rPr>
          <w:b/>
          <w:bCs/>
          <w:sz w:val="16"/>
          <w:szCs w:val="16"/>
        </w:rPr>
        <w:t xml:space="preserve">  </w:t>
      </w:r>
      <w:r w:rsidR="00BE63E3">
        <w:rPr>
          <w:bCs/>
        </w:rPr>
        <w:t>juta dan Rp 547,12 miliar. Total volume transaksi dalam satu semester kedua tahun 2011 mencapai US$ 0</w:t>
      </w:r>
      <w:proofErr w:type="gramStart"/>
      <w:r w:rsidR="00BE63E3">
        <w:rPr>
          <w:bCs/>
        </w:rPr>
        <w:t>,0441</w:t>
      </w:r>
      <w:proofErr w:type="gramEnd"/>
      <w:r w:rsidR="00BE63E3">
        <w:rPr>
          <w:bCs/>
        </w:rPr>
        <w:t xml:space="preserve"> juta dan Rp 56.049,88 miliar. </w:t>
      </w:r>
      <w:proofErr w:type="gramStart"/>
      <w:r w:rsidR="00BE63E3" w:rsidRPr="00362768">
        <w:rPr>
          <w:iCs/>
        </w:rPr>
        <w:t>Adanya fenomena ini menunjukkan bahwa sesungguhnya obligasi korporasi Indonesia marak diperdagangkan</w:t>
      </w:r>
      <w:r w:rsidR="00AA062C">
        <w:rPr>
          <w:iCs/>
        </w:rPr>
        <w:t>.</w:t>
      </w:r>
      <w:proofErr w:type="gramEnd"/>
    </w:p>
    <w:p w:rsidR="00565A0F" w:rsidRPr="00565A0F" w:rsidRDefault="0023027E" w:rsidP="00565A0F">
      <w:pPr>
        <w:spacing w:line="480" w:lineRule="auto"/>
        <w:ind w:firstLine="567"/>
        <w:jc w:val="both"/>
        <w:rPr>
          <w:b/>
        </w:rPr>
      </w:pPr>
      <w:r w:rsidRPr="00362768">
        <w:t xml:space="preserve">Obligasi merupakan sekuritas yang diterbitkan oleh suatu perusahaan yang ingin memperoleh </w:t>
      </w:r>
      <w:proofErr w:type="gramStart"/>
      <w:r w:rsidRPr="00362768">
        <w:t>dana</w:t>
      </w:r>
      <w:proofErr w:type="gramEnd"/>
      <w:r w:rsidRPr="00362768">
        <w:t xml:space="preserve"> dengan menjanjikan sejumlah uang tetap (</w:t>
      </w:r>
      <w:r w:rsidRPr="00362768">
        <w:rPr>
          <w:i/>
        </w:rPr>
        <w:t xml:space="preserve">principal </w:t>
      </w:r>
      <w:r w:rsidRPr="00362768">
        <w:t>atau</w:t>
      </w:r>
      <w:r w:rsidRPr="00362768">
        <w:rPr>
          <w:i/>
        </w:rPr>
        <w:t xml:space="preserve"> par value</w:t>
      </w:r>
      <w:r w:rsidRPr="00362768">
        <w:t>) kepada pemegangnya yang akan dibayarkan pada waktu jatuh tempo di waktu yang akan datang (</w:t>
      </w:r>
      <w:r w:rsidRPr="00362768">
        <w:rPr>
          <w:i/>
        </w:rPr>
        <w:t>maturity</w:t>
      </w:r>
      <w:r w:rsidRPr="00362768">
        <w:t>) disertai dengan pembayaran bunga (</w:t>
      </w:r>
      <w:r w:rsidRPr="00362768">
        <w:rPr>
          <w:i/>
        </w:rPr>
        <w:t>coupon</w:t>
      </w:r>
      <w:r w:rsidRPr="00362768">
        <w:t>) secara periodik.</w:t>
      </w:r>
      <w:r w:rsidR="00565A0F">
        <w:t xml:space="preserve"> </w:t>
      </w:r>
      <w:proofErr w:type="gramStart"/>
      <w:r w:rsidR="00565A0F" w:rsidRPr="00362768">
        <w:t>Sebelum seorang investor memutuskan untuk membeli atau menjual sebuah obligasi, maka hal utama yang dilihat terlebih dahulu adalah harga obligasi tersebut.</w:t>
      </w:r>
      <w:proofErr w:type="gramEnd"/>
      <w:r w:rsidR="00565A0F" w:rsidRPr="00362768">
        <w:t xml:space="preserve"> Harga obl</w:t>
      </w:r>
      <w:r w:rsidR="00370AAD">
        <w:t>igasi adalah suatu harga yang ditetapkan ketika seseorang ingin memperjualbelikan</w:t>
      </w:r>
      <w:r w:rsidR="00565A0F" w:rsidRPr="00362768">
        <w:t xml:space="preserve"> obligasi di Pasar Modal baik melalui transaksi </w:t>
      </w:r>
      <w:r w:rsidR="00370AAD">
        <w:t xml:space="preserve">pada </w:t>
      </w:r>
      <w:r w:rsidR="00565A0F" w:rsidRPr="00362768">
        <w:t>bursa maupun OTC (</w:t>
      </w:r>
      <w:r w:rsidR="00565A0F" w:rsidRPr="00362768">
        <w:rPr>
          <w:i/>
        </w:rPr>
        <w:t xml:space="preserve">Over </w:t>
      </w:r>
      <w:proofErr w:type="gramStart"/>
      <w:r w:rsidR="00565A0F" w:rsidRPr="00362768">
        <w:rPr>
          <w:i/>
        </w:rPr>
        <w:t>The</w:t>
      </w:r>
      <w:proofErr w:type="gramEnd"/>
      <w:r w:rsidR="00565A0F" w:rsidRPr="00362768">
        <w:rPr>
          <w:i/>
        </w:rPr>
        <w:t xml:space="preserve"> Counter</w:t>
      </w:r>
      <w:r w:rsidR="00565A0F" w:rsidRPr="00362768">
        <w:t xml:space="preserve">). </w:t>
      </w:r>
      <w:proofErr w:type="gramStart"/>
      <w:r w:rsidR="00565A0F" w:rsidRPr="00362768">
        <w:t>Harga obligasi sangat penting diketahui oleh investor agar investor mengetahui kapan seharusnya mereka membeli atau menjual obligasi tersebut.</w:t>
      </w:r>
      <w:proofErr w:type="gramEnd"/>
      <w:r w:rsidR="00565A0F" w:rsidRPr="00362768">
        <w:t xml:space="preserve"> Menurut Fabozzi (2000</w:t>
      </w:r>
      <w:r w:rsidR="009C214C">
        <w:t>:545</w:t>
      </w:r>
      <w:r w:rsidR="00565A0F" w:rsidRPr="00362768">
        <w:t xml:space="preserve">) </w:t>
      </w:r>
      <w:r w:rsidR="00565A0F">
        <w:t>harga obligasi</w:t>
      </w:r>
      <w:r w:rsidR="00565A0F" w:rsidRPr="00362768">
        <w:t xml:space="preserve"> </w:t>
      </w:r>
      <w:r w:rsidR="002545AD">
        <w:t xml:space="preserve">dipengaruhi oleh beberapa faktor </w:t>
      </w:r>
      <w:r w:rsidR="00565A0F" w:rsidRPr="00362768">
        <w:t>diantar</w:t>
      </w:r>
      <w:r w:rsidR="00565A0F">
        <w:t xml:space="preserve">anya adalah likuiditas, </w:t>
      </w:r>
      <w:r w:rsidR="00565A0F" w:rsidRPr="00362768">
        <w:t xml:space="preserve">waktu jatuh tempo dan kupon yang </w:t>
      </w:r>
      <w:proofErr w:type="gramStart"/>
      <w:r w:rsidR="00565A0F" w:rsidRPr="00362768">
        <w:t>akan</w:t>
      </w:r>
      <w:proofErr w:type="gramEnd"/>
      <w:r w:rsidR="00565A0F" w:rsidRPr="00362768">
        <w:t xml:space="preserve"> dibahas lebih lanjut pada penelitian ini.</w:t>
      </w:r>
    </w:p>
    <w:p w:rsidR="00DA6752" w:rsidRDefault="00820C69" w:rsidP="00DA1A35">
      <w:pPr>
        <w:pStyle w:val="ListParagraph"/>
        <w:autoSpaceDE w:val="0"/>
        <w:autoSpaceDN w:val="0"/>
        <w:adjustRightInd w:val="0"/>
        <w:spacing w:after="0" w:line="480" w:lineRule="auto"/>
        <w:ind w:left="0" w:firstLine="540"/>
        <w:contextualSpacing w:val="0"/>
        <w:jc w:val="both"/>
        <w:rPr>
          <w:rFonts w:ascii="Times New Roman" w:hAnsi="Times New Roman"/>
          <w:sz w:val="24"/>
          <w:szCs w:val="24"/>
        </w:rPr>
      </w:pPr>
      <w:proofErr w:type="gramStart"/>
      <w:r>
        <w:rPr>
          <w:rFonts w:ascii="Times New Roman" w:hAnsi="Times New Roman"/>
          <w:sz w:val="24"/>
          <w:szCs w:val="24"/>
        </w:rPr>
        <w:lastRenderedPageBreak/>
        <w:t xml:space="preserve">Menurut </w:t>
      </w:r>
      <w:r w:rsidRPr="00362768">
        <w:rPr>
          <w:rFonts w:ascii="Times New Roman" w:hAnsi="Times New Roman"/>
          <w:sz w:val="24"/>
          <w:szCs w:val="24"/>
        </w:rPr>
        <w:t>Kr</w:t>
      </w:r>
      <w:r w:rsidR="00B74BA4">
        <w:rPr>
          <w:rFonts w:ascii="Times New Roman" w:hAnsi="Times New Roman"/>
          <w:sz w:val="24"/>
          <w:szCs w:val="24"/>
        </w:rPr>
        <w:t xml:space="preserve">isnilasari (2007) obligasi yang </w:t>
      </w:r>
      <w:r w:rsidRPr="00362768">
        <w:rPr>
          <w:rFonts w:ascii="Times New Roman" w:hAnsi="Times New Roman"/>
          <w:sz w:val="24"/>
          <w:szCs w:val="24"/>
        </w:rPr>
        <w:t>likuid adalah obligasi yang</w:t>
      </w:r>
      <w:r w:rsidR="00B74BA4">
        <w:rPr>
          <w:rFonts w:ascii="Times New Roman" w:hAnsi="Times New Roman"/>
          <w:sz w:val="24"/>
          <w:szCs w:val="24"/>
        </w:rPr>
        <w:t xml:space="preserve"> mudah diperjualbelikan oleh para investor di pasar obligasi</w:t>
      </w:r>
      <w:r w:rsidRPr="00362768">
        <w:rPr>
          <w:rFonts w:ascii="Times New Roman" w:hAnsi="Times New Roman"/>
          <w:sz w:val="24"/>
          <w:szCs w:val="24"/>
        </w:rPr>
        <w:t>.</w:t>
      </w:r>
      <w:proofErr w:type="gramEnd"/>
      <w:r>
        <w:t xml:space="preserve"> </w:t>
      </w:r>
      <w:r w:rsidR="00B74BA4">
        <w:rPr>
          <w:rFonts w:ascii="Times New Roman" w:hAnsi="Times New Roman"/>
          <w:sz w:val="24"/>
          <w:szCs w:val="24"/>
        </w:rPr>
        <w:t>Longstaff (2001)</w:t>
      </w:r>
      <w:r w:rsidR="002545AD">
        <w:rPr>
          <w:rFonts w:ascii="Times New Roman" w:hAnsi="Times New Roman"/>
          <w:sz w:val="24"/>
          <w:szCs w:val="24"/>
        </w:rPr>
        <w:t xml:space="preserve"> juga menyatakan bahwa </w:t>
      </w:r>
      <w:r w:rsidRPr="00362768">
        <w:rPr>
          <w:rFonts w:ascii="Times New Roman" w:hAnsi="Times New Roman"/>
          <w:sz w:val="24"/>
          <w:szCs w:val="24"/>
        </w:rPr>
        <w:t>makin t</w:t>
      </w:r>
      <w:r w:rsidR="002545AD">
        <w:rPr>
          <w:rFonts w:ascii="Times New Roman" w:hAnsi="Times New Roman"/>
          <w:sz w:val="24"/>
          <w:szCs w:val="24"/>
        </w:rPr>
        <w:t xml:space="preserve">inggi tingkat perubahan harga obligasi maka </w:t>
      </w:r>
      <w:proofErr w:type="gramStart"/>
      <w:r w:rsidR="002545AD">
        <w:rPr>
          <w:rFonts w:ascii="Times New Roman" w:hAnsi="Times New Roman"/>
          <w:sz w:val="24"/>
          <w:szCs w:val="24"/>
        </w:rPr>
        <w:t>akan</w:t>
      </w:r>
      <w:proofErr w:type="gramEnd"/>
      <w:r w:rsidR="002545AD">
        <w:rPr>
          <w:rFonts w:ascii="Times New Roman" w:hAnsi="Times New Roman"/>
          <w:sz w:val="24"/>
          <w:szCs w:val="24"/>
        </w:rPr>
        <w:t xml:space="preserve"> semakin tinggi pula likuiditas obligasi tersebut</w:t>
      </w:r>
      <w:r w:rsidRPr="00362768">
        <w:rPr>
          <w:rFonts w:ascii="Times New Roman" w:hAnsi="Times New Roman"/>
          <w:sz w:val="24"/>
          <w:szCs w:val="24"/>
        </w:rPr>
        <w:t xml:space="preserve"> (</w:t>
      </w:r>
      <w:r w:rsidRPr="00362768">
        <w:rPr>
          <w:rFonts w:ascii="Times New Roman" w:hAnsi="Times New Roman"/>
          <w:i/>
          <w:iCs/>
          <w:sz w:val="24"/>
          <w:szCs w:val="24"/>
        </w:rPr>
        <w:t xml:space="preserve">return </w:t>
      </w:r>
      <w:r w:rsidRPr="00362768">
        <w:rPr>
          <w:rFonts w:ascii="Times New Roman" w:hAnsi="Times New Roman"/>
          <w:sz w:val="24"/>
          <w:szCs w:val="24"/>
        </w:rPr>
        <w:t>obligasinya).</w:t>
      </w:r>
      <w:r w:rsidR="00EA7055">
        <w:rPr>
          <w:rFonts w:ascii="Times New Roman" w:hAnsi="Times New Roman"/>
          <w:sz w:val="24"/>
          <w:szCs w:val="24"/>
        </w:rPr>
        <w:t xml:space="preserve"> </w:t>
      </w:r>
      <w:proofErr w:type="gramStart"/>
      <w:r w:rsidR="00EA7055">
        <w:rPr>
          <w:rFonts w:ascii="Times New Roman" w:hAnsi="Times New Roman"/>
          <w:sz w:val="24"/>
          <w:szCs w:val="24"/>
        </w:rPr>
        <w:t>Faktor berikutnya yang diteliti adalah waktu jatuh tempo, waktu jatuh tempo obligasi merupakan waktu yang ditentukan perusahaan emiten atas obligasi yang diterbitkannya atau waktu yang dibutuhkan perusahaan obligasi untuk dapat memenuhi kewajibannya.</w:t>
      </w:r>
      <w:proofErr w:type="gramEnd"/>
      <w:r w:rsidR="00EA7055">
        <w:rPr>
          <w:rFonts w:ascii="Times New Roman" w:hAnsi="Times New Roman"/>
          <w:sz w:val="24"/>
          <w:szCs w:val="24"/>
        </w:rPr>
        <w:t xml:space="preserve"> </w:t>
      </w:r>
      <w:r w:rsidR="001C2E0F">
        <w:rPr>
          <w:rFonts w:ascii="Times New Roman" w:hAnsi="Times New Roman"/>
          <w:sz w:val="24"/>
          <w:szCs w:val="24"/>
        </w:rPr>
        <w:t xml:space="preserve">Bodie </w:t>
      </w:r>
      <w:r w:rsidR="001C2E0F" w:rsidRPr="001D27FD">
        <w:rPr>
          <w:rFonts w:ascii="Times New Roman" w:hAnsi="Times New Roman"/>
          <w:i/>
          <w:sz w:val="24"/>
          <w:szCs w:val="24"/>
        </w:rPr>
        <w:t>et al</w:t>
      </w:r>
      <w:r w:rsidR="001C2E0F">
        <w:rPr>
          <w:rFonts w:ascii="Times New Roman" w:hAnsi="Times New Roman"/>
          <w:sz w:val="24"/>
          <w:szCs w:val="24"/>
        </w:rPr>
        <w:t xml:space="preserve">. (2009:30) menyatakan ketika suatu obligasi telah mendekati waktu jatuh tempo nilainya </w:t>
      </w:r>
      <w:proofErr w:type="gramStart"/>
      <w:r w:rsidR="001C2E0F">
        <w:rPr>
          <w:rFonts w:ascii="Times New Roman" w:hAnsi="Times New Roman"/>
          <w:sz w:val="24"/>
          <w:szCs w:val="24"/>
        </w:rPr>
        <w:t>akan</w:t>
      </w:r>
      <w:proofErr w:type="gramEnd"/>
      <w:r w:rsidR="001C2E0F">
        <w:rPr>
          <w:rFonts w:ascii="Times New Roman" w:hAnsi="Times New Roman"/>
          <w:sz w:val="24"/>
          <w:szCs w:val="24"/>
        </w:rPr>
        <w:t xml:space="preserve"> menurun dikarenakan semakin sedikit sisa pembayaran bunga di</w:t>
      </w:r>
      <w:r w:rsidR="00B9121C">
        <w:rPr>
          <w:rFonts w:ascii="Times New Roman" w:hAnsi="Times New Roman"/>
          <w:sz w:val="24"/>
          <w:szCs w:val="24"/>
        </w:rPr>
        <w:t xml:space="preserve"> </w:t>
      </w:r>
      <w:r w:rsidR="001C2E0F">
        <w:rPr>
          <w:rFonts w:ascii="Times New Roman" w:hAnsi="Times New Roman"/>
          <w:sz w:val="24"/>
          <w:szCs w:val="24"/>
        </w:rPr>
        <w:t>atas pa</w:t>
      </w:r>
      <w:r w:rsidR="00B37F2A">
        <w:rPr>
          <w:rFonts w:ascii="Times New Roman" w:hAnsi="Times New Roman"/>
          <w:sz w:val="24"/>
          <w:szCs w:val="24"/>
        </w:rPr>
        <w:t xml:space="preserve">saran tersebut. Teori ini didukung oleh </w:t>
      </w:r>
      <w:r w:rsidR="00A65AFC">
        <w:rPr>
          <w:rFonts w:ascii="Times New Roman" w:hAnsi="Times New Roman"/>
          <w:sz w:val="24"/>
          <w:szCs w:val="24"/>
        </w:rPr>
        <w:t xml:space="preserve">penelitian yang dilakukan Ericsson dan Reneby (2001), Rubayah </w:t>
      </w:r>
      <w:r w:rsidR="00A65AFC" w:rsidRPr="00A65AFC">
        <w:rPr>
          <w:rFonts w:ascii="Times New Roman" w:hAnsi="Times New Roman"/>
          <w:i/>
          <w:sz w:val="24"/>
          <w:szCs w:val="24"/>
        </w:rPr>
        <w:t>et al</w:t>
      </w:r>
      <w:r w:rsidR="00A65AFC">
        <w:rPr>
          <w:rFonts w:ascii="Times New Roman" w:hAnsi="Times New Roman"/>
          <w:sz w:val="24"/>
          <w:szCs w:val="24"/>
        </w:rPr>
        <w:t xml:space="preserve">. (2002) dan Mardika (2008) dimana ditemukan hasil </w:t>
      </w:r>
      <w:r w:rsidR="001C2E0F">
        <w:rPr>
          <w:rFonts w:ascii="Times New Roman" w:hAnsi="Times New Roman"/>
          <w:sz w:val="24"/>
          <w:szCs w:val="24"/>
        </w:rPr>
        <w:t xml:space="preserve">bahwa semakin lama waktu jatuh tempo suatu obligasi maka semakin besar penurunan harga yang dapat terjadi pada obligasi tersebut. </w:t>
      </w:r>
    </w:p>
    <w:p w:rsidR="001F50A9" w:rsidRDefault="00B37F2A" w:rsidP="00DA1A35">
      <w:pPr>
        <w:pStyle w:val="ListParagraph"/>
        <w:autoSpaceDE w:val="0"/>
        <w:autoSpaceDN w:val="0"/>
        <w:adjustRightInd w:val="0"/>
        <w:spacing w:after="0" w:line="480" w:lineRule="auto"/>
        <w:ind w:left="0" w:firstLine="540"/>
        <w:contextualSpacing w:val="0"/>
        <w:jc w:val="both"/>
        <w:rPr>
          <w:rFonts w:ascii="Times New Roman" w:hAnsi="Times New Roman"/>
          <w:sz w:val="24"/>
          <w:szCs w:val="24"/>
        </w:rPr>
      </w:pPr>
      <w:proofErr w:type="gramStart"/>
      <w:r>
        <w:rPr>
          <w:rFonts w:ascii="Times New Roman" w:hAnsi="Times New Roman"/>
          <w:sz w:val="24"/>
          <w:szCs w:val="24"/>
        </w:rPr>
        <w:t xml:space="preserve">Kupon merupakan variabel terakhir yang dapat </w:t>
      </w:r>
      <w:r w:rsidR="00CE236A">
        <w:rPr>
          <w:rFonts w:ascii="Times New Roman" w:hAnsi="Times New Roman"/>
          <w:sz w:val="24"/>
          <w:szCs w:val="24"/>
        </w:rPr>
        <w:t>mempengaruhi perubahan h</w:t>
      </w:r>
      <w:r>
        <w:rPr>
          <w:rFonts w:ascii="Times New Roman" w:hAnsi="Times New Roman"/>
          <w:sz w:val="24"/>
          <w:szCs w:val="24"/>
        </w:rPr>
        <w:t>arga suatu obligasi</w:t>
      </w:r>
      <w:r w:rsidR="00CE236A">
        <w:rPr>
          <w:rFonts w:ascii="Times New Roman" w:hAnsi="Times New Roman"/>
          <w:sz w:val="24"/>
          <w:szCs w:val="24"/>
        </w:rPr>
        <w:t>.</w:t>
      </w:r>
      <w:proofErr w:type="gramEnd"/>
      <w:r w:rsidR="00CE236A">
        <w:rPr>
          <w:rFonts w:ascii="Times New Roman" w:hAnsi="Times New Roman"/>
          <w:sz w:val="24"/>
          <w:szCs w:val="24"/>
        </w:rPr>
        <w:t xml:space="preserve"> </w:t>
      </w:r>
      <w:proofErr w:type="gramStart"/>
      <w:r w:rsidR="00CE236A">
        <w:rPr>
          <w:rFonts w:ascii="Times New Roman" w:hAnsi="Times New Roman"/>
          <w:sz w:val="24"/>
          <w:szCs w:val="24"/>
        </w:rPr>
        <w:t>Kupon adalah tingkat bunga yang dibayarkan oleh perusahaan emiten setiap periode hingga waktu jatuh tempo obligasi kepada investor sebagai balas jasa atas investasi yang ditanamkannya.</w:t>
      </w:r>
      <w:proofErr w:type="gramEnd"/>
      <w:r w:rsidR="00B6138B">
        <w:rPr>
          <w:rFonts w:ascii="Times New Roman" w:hAnsi="Times New Roman"/>
          <w:sz w:val="24"/>
          <w:szCs w:val="24"/>
        </w:rPr>
        <w:t xml:space="preserve"> </w:t>
      </w:r>
      <w:proofErr w:type="gramStart"/>
      <w:r w:rsidR="00430EC1" w:rsidRPr="005A6D15">
        <w:rPr>
          <w:rFonts w:ascii="Times New Roman" w:hAnsi="Times New Roman"/>
          <w:sz w:val="24"/>
          <w:szCs w:val="24"/>
        </w:rPr>
        <w:t>Edward</w:t>
      </w:r>
      <w:r w:rsidR="00430EC1">
        <w:rPr>
          <w:rFonts w:ascii="Times New Roman" w:hAnsi="Times New Roman"/>
          <w:sz w:val="24"/>
          <w:szCs w:val="24"/>
        </w:rPr>
        <w:t xml:space="preserve"> (2007)</w:t>
      </w:r>
      <w:r w:rsidR="00430EC1" w:rsidRPr="005A6D15">
        <w:rPr>
          <w:rFonts w:ascii="Times New Roman" w:hAnsi="Times New Roman"/>
          <w:sz w:val="24"/>
          <w:szCs w:val="24"/>
        </w:rPr>
        <w:t xml:space="preserve"> </w:t>
      </w:r>
      <w:r w:rsidR="00946040">
        <w:rPr>
          <w:rFonts w:ascii="Times New Roman" w:hAnsi="Times New Roman"/>
          <w:sz w:val="24"/>
          <w:szCs w:val="24"/>
        </w:rPr>
        <w:t xml:space="preserve">dan Lwabona (1999) </w:t>
      </w:r>
      <w:r w:rsidR="00430EC1">
        <w:rPr>
          <w:rFonts w:ascii="Times New Roman" w:hAnsi="Times New Roman"/>
          <w:sz w:val="24"/>
          <w:szCs w:val="24"/>
        </w:rPr>
        <w:t xml:space="preserve">dalam penelitiannya menyatakan bahwa </w:t>
      </w:r>
      <w:r w:rsidR="00430EC1" w:rsidRPr="005A6D15">
        <w:rPr>
          <w:rFonts w:ascii="Times New Roman" w:hAnsi="Times New Roman"/>
          <w:sz w:val="24"/>
          <w:szCs w:val="24"/>
        </w:rPr>
        <w:t>kupon berpengaruh positif dan signifikan te</w:t>
      </w:r>
      <w:r w:rsidR="00430EC1">
        <w:rPr>
          <w:rFonts w:ascii="Times New Roman" w:hAnsi="Times New Roman"/>
          <w:sz w:val="24"/>
          <w:szCs w:val="24"/>
        </w:rPr>
        <w:t>rhadap perubahan harga obligasi.</w:t>
      </w:r>
      <w:proofErr w:type="gramEnd"/>
      <w:r w:rsidR="00A65AFC">
        <w:rPr>
          <w:rFonts w:ascii="Times New Roman" w:hAnsi="Times New Roman"/>
          <w:sz w:val="24"/>
          <w:szCs w:val="24"/>
        </w:rPr>
        <w:t xml:space="preserve"> </w:t>
      </w:r>
    </w:p>
    <w:p w:rsidR="00946C0B" w:rsidRPr="005721AC" w:rsidRDefault="00B04E0F" w:rsidP="005721AC">
      <w:pPr>
        <w:pStyle w:val="ListParagraph"/>
        <w:autoSpaceDE w:val="0"/>
        <w:autoSpaceDN w:val="0"/>
        <w:adjustRightInd w:val="0"/>
        <w:spacing w:after="0" w:line="480" w:lineRule="auto"/>
        <w:ind w:left="0" w:firstLine="360"/>
        <w:contextualSpacing w:val="0"/>
        <w:jc w:val="both"/>
        <w:rPr>
          <w:rFonts w:ascii="Times New Roman" w:hAnsi="Times New Roman"/>
          <w:sz w:val="24"/>
          <w:szCs w:val="24"/>
        </w:rPr>
      </w:pPr>
      <w:proofErr w:type="gramStart"/>
      <w:r>
        <w:rPr>
          <w:rFonts w:ascii="Times New Roman" w:hAnsi="Times New Roman"/>
          <w:sz w:val="24"/>
          <w:szCs w:val="24"/>
        </w:rPr>
        <w:t>Perbedaan</w:t>
      </w:r>
      <w:r w:rsidR="0088781D" w:rsidRPr="001F50A9">
        <w:rPr>
          <w:rFonts w:ascii="Times New Roman" w:hAnsi="Times New Roman"/>
          <w:sz w:val="24"/>
          <w:szCs w:val="24"/>
        </w:rPr>
        <w:t xml:space="preserve"> penelitian ini dengan penelitian sebelumnya adalah pengaruh variabel bebas terhadap variabel terikat diteliti dengan membedakan obligasi dari peringkatnya </w:t>
      </w:r>
      <w:r w:rsidR="009D085E">
        <w:rPr>
          <w:rFonts w:ascii="Times New Roman" w:hAnsi="Times New Roman"/>
          <w:sz w:val="24"/>
          <w:szCs w:val="24"/>
        </w:rPr>
        <w:t xml:space="preserve">yaitu untuk mengetahui bagaimana </w:t>
      </w:r>
      <w:r w:rsidR="0088781D" w:rsidRPr="001F50A9">
        <w:rPr>
          <w:rFonts w:ascii="Times New Roman" w:hAnsi="Times New Roman"/>
          <w:sz w:val="24"/>
          <w:szCs w:val="24"/>
        </w:rPr>
        <w:t xml:space="preserve">variabel bebas </w:t>
      </w:r>
      <w:r w:rsidR="009D085E">
        <w:rPr>
          <w:rFonts w:ascii="Times New Roman" w:hAnsi="Times New Roman"/>
          <w:sz w:val="24"/>
          <w:szCs w:val="24"/>
        </w:rPr>
        <w:t xml:space="preserve">tersebut dapat </w:t>
      </w:r>
      <w:r w:rsidR="009D085E">
        <w:rPr>
          <w:rFonts w:ascii="Times New Roman" w:hAnsi="Times New Roman"/>
          <w:sz w:val="24"/>
          <w:szCs w:val="24"/>
        </w:rPr>
        <w:lastRenderedPageBreak/>
        <w:t xml:space="preserve">mempengaruhi </w:t>
      </w:r>
      <w:r w:rsidR="0088781D" w:rsidRPr="001F50A9">
        <w:rPr>
          <w:rFonts w:ascii="Times New Roman" w:hAnsi="Times New Roman"/>
          <w:sz w:val="24"/>
          <w:szCs w:val="24"/>
        </w:rPr>
        <w:t>variabel terikat pada obligasi berperingkat rendah</w:t>
      </w:r>
      <w:r w:rsidR="009D085E">
        <w:rPr>
          <w:rFonts w:ascii="Times New Roman" w:hAnsi="Times New Roman"/>
          <w:sz w:val="24"/>
          <w:szCs w:val="24"/>
        </w:rPr>
        <w:t xml:space="preserve"> serta untuk mengetahui bagaimana variabel variabel tersebut mempengaruhi </w:t>
      </w:r>
      <w:r w:rsidR="0088781D" w:rsidRPr="001F50A9">
        <w:rPr>
          <w:rFonts w:ascii="Times New Roman" w:hAnsi="Times New Roman"/>
          <w:sz w:val="24"/>
          <w:szCs w:val="24"/>
        </w:rPr>
        <w:t>variabel terikat pada obligasi berperingkat berperingkat tinggi.</w:t>
      </w:r>
      <w:proofErr w:type="gramEnd"/>
      <w:r w:rsidR="006D53E0" w:rsidRPr="001F50A9">
        <w:rPr>
          <w:rFonts w:ascii="Times New Roman" w:hAnsi="Times New Roman"/>
          <w:sz w:val="24"/>
          <w:szCs w:val="24"/>
        </w:rPr>
        <w:t xml:space="preserve"> </w:t>
      </w:r>
      <w:proofErr w:type="gramStart"/>
      <w:r w:rsidR="001F50A9" w:rsidRPr="001F50A9">
        <w:rPr>
          <w:rFonts w:ascii="Times New Roman" w:hAnsi="Times New Roman"/>
          <w:sz w:val="24"/>
          <w:szCs w:val="24"/>
        </w:rPr>
        <w:t>Silalahi (2007) menyatakan peringkat obligasi memiliki kandungan informasi sehingga peringkat yang dihasilkan oleh Lembaga Pemeringkat (Pefindo) mengindikasikan kualitas obligasi.</w:t>
      </w:r>
      <w:proofErr w:type="gramEnd"/>
      <w:r w:rsidR="001F50A9" w:rsidRPr="001F50A9">
        <w:rPr>
          <w:rFonts w:ascii="Times New Roman" w:hAnsi="Times New Roman"/>
          <w:sz w:val="24"/>
          <w:szCs w:val="24"/>
        </w:rPr>
        <w:t xml:space="preserve"> </w:t>
      </w:r>
      <w:proofErr w:type="gramStart"/>
      <w:r w:rsidR="001F50A9" w:rsidRPr="001F50A9">
        <w:rPr>
          <w:rFonts w:ascii="Times New Roman" w:hAnsi="Times New Roman"/>
          <w:sz w:val="24"/>
          <w:szCs w:val="24"/>
        </w:rPr>
        <w:t xml:space="preserve">Obligasi yang memiliki peringkat tinggi diberi simbol AAA, AA, A, sedangkan obligasi peringkat rendah diberi simbol </w:t>
      </w:r>
      <w:r w:rsidR="001F50A9" w:rsidRPr="001F50A9">
        <w:rPr>
          <w:rFonts w:ascii="Times New Roman" w:hAnsi="Times New Roman"/>
          <w:bCs/>
          <w:iCs/>
          <w:sz w:val="24"/>
          <w:szCs w:val="24"/>
        </w:rPr>
        <w:t xml:space="preserve">BBB, </w:t>
      </w:r>
      <w:r w:rsidR="001F50A9" w:rsidRPr="001F50A9">
        <w:rPr>
          <w:rFonts w:ascii="Times New Roman" w:hAnsi="Times New Roman"/>
          <w:sz w:val="24"/>
          <w:szCs w:val="24"/>
        </w:rPr>
        <w:t>BB, B, CCC, D.</w:t>
      </w:r>
      <w:proofErr w:type="gramEnd"/>
    </w:p>
    <w:p w:rsidR="00946C0B" w:rsidRDefault="00946C0B" w:rsidP="00946C0B">
      <w:pPr>
        <w:autoSpaceDE w:val="0"/>
        <w:autoSpaceDN w:val="0"/>
        <w:adjustRightInd w:val="0"/>
        <w:spacing w:line="480" w:lineRule="auto"/>
        <w:jc w:val="both"/>
        <w:rPr>
          <w:b/>
        </w:rPr>
      </w:pPr>
      <w:r w:rsidRPr="00946C0B">
        <w:rPr>
          <w:b/>
        </w:rPr>
        <w:t>METODE PENELITIAN</w:t>
      </w:r>
    </w:p>
    <w:p w:rsidR="00E201FE" w:rsidRDefault="00B6138B" w:rsidP="00E201FE">
      <w:pPr>
        <w:autoSpaceDE w:val="0"/>
        <w:autoSpaceDN w:val="0"/>
        <w:adjustRightInd w:val="0"/>
        <w:spacing w:line="480" w:lineRule="auto"/>
        <w:ind w:firstLine="567"/>
        <w:jc w:val="both"/>
        <w:rPr>
          <w:bCs/>
          <w:iCs/>
        </w:rPr>
      </w:pPr>
      <w:r>
        <w:t>Penelitian ini merupakan jenis penelitian asosiatif, penelitian yang dilakukan untuk mengetahui pengaruh likuiditas</w:t>
      </w:r>
      <w:r w:rsidR="00685413">
        <w:t xml:space="preserve"> (X</w:t>
      </w:r>
      <w:r w:rsidR="00685413">
        <w:rPr>
          <w:vertAlign w:val="subscript"/>
        </w:rPr>
        <w:t>1</w:t>
      </w:r>
      <w:r w:rsidR="00685413">
        <w:t>)</w:t>
      </w:r>
      <w:r>
        <w:t>, waktu jatuh tempo</w:t>
      </w:r>
      <w:r w:rsidR="00685413">
        <w:t xml:space="preserve"> (X</w:t>
      </w:r>
      <w:r w:rsidR="00685413">
        <w:rPr>
          <w:vertAlign w:val="subscript"/>
        </w:rPr>
        <w:t>2</w:t>
      </w:r>
      <w:r w:rsidR="00685413">
        <w:t>)</w:t>
      </w:r>
      <w:r>
        <w:t xml:space="preserve">, dan kupon </w:t>
      </w:r>
      <w:r w:rsidR="00685413">
        <w:t>(X</w:t>
      </w:r>
      <w:r w:rsidR="00685413">
        <w:rPr>
          <w:vertAlign w:val="subscript"/>
        </w:rPr>
        <w:t>3</w:t>
      </w:r>
      <w:r w:rsidR="00685413">
        <w:t>)</w:t>
      </w:r>
      <w:r w:rsidR="00685413">
        <w:rPr>
          <w:vertAlign w:val="subscript"/>
        </w:rPr>
        <w:t xml:space="preserve"> </w:t>
      </w:r>
      <w:r w:rsidRPr="00685413">
        <w:t>sebagai</w:t>
      </w:r>
      <w:r>
        <w:t xml:space="preserve"> variabel bebas terhadap perubahan harga obligasi korporasi </w:t>
      </w:r>
      <w:r w:rsidR="00685413">
        <w:t>berperingkat rendah dan berperingkat tinggi (Y) sebagai variabel terikatnya.</w:t>
      </w:r>
      <w:r w:rsidR="00672D82">
        <w:t xml:space="preserve"> </w:t>
      </w:r>
      <w:r w:rsidR="00BC5102">
        <w:rPr>
          <w:bCs/>
          <w:iCs/>
        </w:rPr>
        <w:t>P</w:t>
      </w:r>
      <w:r w:rsidR="00672D82">
        <w:rPr>
          <w:bCs/>
          <w:iCs/>
        </w:rPr>
        <w:t>enelitian dilakukan</w:t>
      </w:r>
      <w:r w:rsidR="00BC5102">
        <w:rPr>
          <w:bCs/>
          <w:iCs/>
        </w:rPr>
        <w:t xml:space="preserve"> pada perusahaan </w:t>
      </w:r>
      <w:r w:rsidR="00672D82">
        <w:rPr>
          <w:bCs/>
          <w:iCs/>
        </w:rPr>
        <w:t xml:space="preserve">di Bursa Efek Indonesia dan telah diperingkat oleh PT. Pefindo periode kuartal 1 tahun 2010 hingga kuartal 2 tahun 2011. </w:t>
      </w:r>
      <w:proofErr w:type="gramStart"/>
      <w:r w:rsidR="00522186">
        <w:rPr>
          <w:bCs/>
          <w:iCs/>
        </w:rPr>
        <w:t>Objek penelitian yang diteliti pada penelitian ini adalah perubahan harga obligasi korporasi periode kuartal 1 tahun 2010 hingga kuartal 2 tahun 2011.</w:t>
      </w:r>
      <w:proofErr w:type="gramEnd"/>
      <w:r w:rsidR="00522186">
        <w:rPr>
          <w:bCs/>
          <w:iCs/>
        </w:rPr>
        <w:t xml:space="preserve"> </w:t>
      </w:r>
    </w:p>
    <w:p w:rsidR="00E201FE" w:rsidRDefault="00CE6A54" w:rsidP="00E201FE">
      <w:pPr>
        <w:autoSpaceDE w:val="0"/>
        <w:autoSpaceDN w:val="0"/>
        <w:adjustRightInd w:val="0"/>
        <w:spacing w:line="480" w:lineRule="auto"/>
        <w:ind w:firstLine="567"/>
        <w:jc w:val="both"/>
        <w:rPr>
          <w:bCs/>
          <w:iCs/>
        </w:rPr>
      </w:pPr>
      <w:r w:rsidRPr="00E201FE">
        <w:rPr>
          <w:bCs/>
          <w:iCs/>
        </w:rPr>
        <w:t xml:space="preserve">Data mengenai perubahan harga obligasi dilihat dari rata-rata perubahan harga obligasi korporasi berperingkat rendah dan berperingkat tinggi selama periode pengamatan yaitu </w:t>
      </w:r>
      <w:r>
        <w:t xml:space="preserve">periode kuartal 1 tahun 2010 hingga kuartal 2 tahun </w:t>
      </w:r>
      <w:r w:rsidRPr="00362768">
        <w:t>2011</w:t>
      </w:r>
      <w:r w:rsidRPr="00E201FE">
        <w:rPr>
          <w:bCs/>
          <w:iCs/>
        </w:rPr>
        <w:t xml:space="preserve"> yang dapat diperoleh dari situs resmi Bursa Efek Indonesia.</w:t>
      </w:r>
      <w:r w:rsidR="00E201FE">
        <w:rPr>
          <w:bCs/>
          <w:iCs/>
        </w:rPr>
        <w:t xml:space="preserve"> </w:t>
      </w:r>
      <w:proofErr w:type="gramStart"/>
      <w:r w:rsidR="00E201FE" w:rsidRPr="00E201FE">
        <w:rPr>
          <w:bCs/>
          <w:iCs/>
        </w:rPr>
        <w:t xml:space="preserve">Likuiditas obligasi diukur dari frekuensi perdagangan suatu obligasi yang dapat dilihat pada </w:t>
      </w:r>
      <w:r w:rsidR="00E201FE" w:rsidRPr="00E201FE">
        <w:rPr>
          <w:bCs/>
          <w:iCs/>
        </w:rPr>
        <w:lastRenderedPageBreak/>
        <w:t xml:space="preserve">situs </w:t>
      </w:r>
      <w:r w:rsidR="009B3199">
        <w:rPr>
          <w:bCs/>
          <w:iCs/>
        </w:rPr>
        <w:t xml:space="preserve">resmi </w:t>
      </w:r>
      <w:r w:rsidR="00E201FE" w:rsidRPr="00E201FE">
        <w:rPr>
          <w:bCs/>
          <w:iCs/>
        </w:rPr>
        <w:t>Bursa Efek Indonesia.</w:t>
      </w:r>
      <w:proofErr w:type="gramEnd"/>
      <w:r w:rsidR="009B3199">
        <w:rPr>
          <w:bCs/>
          <w:iCs/>
        </w:rPr>
        <w:t xml:space="preserve"> </w:t>
      </w:r>
      <w:proofErr w:type="gramStart"/>
      <w:r w:rsidR="009B3199">
        <w:rPr>
          <w:bCs/>
          <w:iCs/>
        </w:rPr>
        <w:t>Data mengenai waktu jatuh tempo dan kupon obligasi juga diperoleh di situs Bursa Efek Indonesia.</w:t>
      </w:r>
      <w:proofErr w:type="gramEnd"/>
    </w:p>
    <w:p w:rsidR="001761FB" w:rsidRDefault="00950011" w:rsidP="003E5F78">
      <w:pPr>
        <w:autoSpaceDE w:val="0"/>
        <w:autoSpaceDN w:val="0"/>
        <w:adjustRightInd w:val="0"/>
        <w:spacing w:line="480" w:lineRule="auto"/>
        <w:ind w:firstLine="540"/>
        <w:jc w:val="both"/>
      </w:pPr>
      <w:proofErr w:type="gramStart"/>
      <w:r>
        <w:rPr>
          <w:bCs/>
          <w:iCs/>
        </w:rPr>
        <w:t>Jenis data yang digunakan pada penelitian ini terdiri dari data kuantitatif dan data kualitatif.</w:t>
      </w:r>
      <w:proofErr w:type="gramEnd"/>
      <w:r>
        <w:rPr>
          <w:bCs/>
          <w:iCs/>
        </w:rPr>
        <w:t xml:space="preserve"> </w:t>
      </w:r>
      <w:r w:rsidR="00CC5EE5">
        <w:t>D</w:t>
      </w:r>
      <w:r w:rsidR="001761FB">
        <w:t>ata yang dipergu</w:t>
      </w:r>
      <w:r w:rsidR="00CC5EE5">
        <w:t>nakan pada penelitian ini bersumber dari</w:t>
      </w:r>
      <w:r w:rsidR="001761FB">
        <w:t xml:space="preserve"> data sekunder, dimana data yang digunakan pada penelitian ini diperoleh dari Bursa Efek Indonesia (BEI), Harian Bisnis Ind</w:t>
      </w:r>
      <w:r w:rsidR="00CC5EE5">
        <w:t xml:space="preserve">onesia, PT. KSEI dan PT.Pefindo. </w:t>
      </w:r>
      <w:r w:rsidR="003E5F78" w:rsidRPr="00172314">
        <w:t xml:space="preserve">Teknik pengambilan sampel yang digunakan pada penelitian ini adalah teknik </w:t>
      </w:r>
      <w:r w:rsidR="003E5F78" w:rsidRPr="00172314">
        <w:rPr>
          <w:i/>
        </w:rPr>
        <w:t>proportionate stratified random sampling</w:t>
      </w:r>
      <w:r w:rsidR="003E5F78" w:rsidRPr="00172314">
        <w:t>,</w:t>
      </w:r>
      <w:r w:rsidR="003E5F78">
        <w:t xml:space="preserve"> peneliti memilih obligasi yang memiliki data lengkap dan sesuai kriteria, selanjutnya memisahkan obligasi yang berperingkat rendah dan obligasi </w:t>
      </w:r>
      <w:r w:rsidR="00B9121C">
        <w:t>yang berperingkat tinggi. Jumlah sampel sama</w:t>
      </w:r>
      <w:r w:rsidR="003E5F78">
        <w:t xml:space="preserve"> antara obligasi berperingkat rendah dan obligasi berperingkat tinggi, </w:t>
      </w:r>
      <w:r w:rsidR="00B9121C">
        <w:t>dimana j</w:t>
      </w:r>
      <w:r w:rsidR="003E5F78">
        <w:t>umlah sampel tersebut adalah sejumlah 18 obligasi yang terdiri dari 9 obligasi berperingkat rendah dan 9 obligasi berperingkat tinggi</w:t>
      </w:r>
      <w:r w:rsidR="00B9121C">
        <w:t>.</w:t>
      </w:r>
    </w:p>
    <w:p w:rsidR="003E5F78" w:rsidRDefault="008D5677" w:rsidP="003E5F78">
      <w:pPr>
        <w:autoSpaceDE w:val="0"/>
        <w:autoSpaceDN w:val="0"/>
        <w:adjustRightInd w:val="0"/>
        <w:spacing w:line="480" w:lineRule="auto"/>
        <w:ind w:firstLine="540"/>
        <w:jc w:val="both"/>
      </w:pPr>
      <w:proofErr w:type="gramStart"/>
      <w:r>
        <w:t>Penelitian ini menggunakan</w:t>
      </w:r>
      <w:r w:rsidR="00D36B02">
        <w:t xml:space="preserve"> teknik analisis regresi linear berganda</w:t>
      </w:r>
      <w:r w:rsidR="00D36B02" w:rsidRPr="00D36B02">
        <w:t xml:space="preserve"> </w:t>
      </w:r>
      <w:r w:rsidR="00D36B02">
        <w:t>karena metode ini dapat membuktikan hubungan dan pengaruh antara 2 variabel atau lebih.</w:t>
      </w:r>
      <w:proofErr w:type="gramEnd"/>
      <w:r w:rsidR="00D36B02">
        <w:t xml:space="preserve"> </w:t>
      </w:r>
      <w:proofErr w:type="gramStart"/>
      <w:r w:rsidR="00D36B02">
        <w:t>Pada penelitian ini adalah agar mengetahui hubungan 3 variabel bebas (likuiditas, waktu jatuh tempo, dan kupon) dengan 1 variabel terikat (perubahan harga obligasi).</w:t>
      </w:r>
      <w:proofErr w:type="gramEnd"/>
      <w:r w:rsidR="00D36B02">
        <w:t xml:space="preserve"> </w:t>
      </w:r>
    </w:p>
    <w:p w:rsidR="00052E2E" w:rsidRDefault="00052E2E" w:rsidP="00C55651">
      <w:pPr>
        <w:autoSpaceDE w:val="0"/>
        <w:autoSpaceDN w:val="0"/>
        <w:adjustRightInd w:val="0"/>
        <w:spacing w:line="480" w:lineRule="auto"/>
        <w:jc w:val="both"/>
      </w:pPr>
    </w:p>
    <w:p w:rsidR="00C55651" w:rsidRDefault="00C55651" w:rsidP="00C55651">
      <w:pPr>
        <w:autoSpaceDE w:val="0"/>
        <w:autoSpaceDN w:val="0"/>
        <w:adjustRightInd w:val="0"/>
        <w:spacing w:line="480" w:lineRule="auto"/>
        <w:jc w:val="both"/>
      </w:pPr>
    </w:p>
    <w:p w:rsidR="00C55651" w:rsidRDefault="00C55651" w:rsidP="00C55651">
      <w:pPr>
        <w:autoSpaceDE w:val="0"/>
        <w:autoSpaceDN w:val="0"/>
        <w:adjustRightInd w:val="0"/>
        <w:spacing w:line="480" w:lineRule="auto"/>
        <w:jc w:val="both"/>
      </w:pPr>
    </w:p>
    <w:p w:rsidR="00C55651" w:rsidRDefault="00C55651" w:rsidP="00C55651">
      <w:pPr>
        <w:autoSpaceDE w:val="0"/>
        <w:autoSpaceDN w:val="0"/>
        <w:adjustRightInd w:val="0"/>
        <w:spacing w:line="480" w:lineRule="auto"/>
        <w:jc w:val="both"/>
      </w:pPr>
    </w:p>
    <w:p w:rsidR="00C55651" w:rsidRDefault="00C55651" w:rsidP="00C55651">
      <w:pPr>
        <w:autoSpaceDE w:val="0"/>
        <w:autoSpaceDN w:val="0"/>
        <w:adjustRightInd w:val="0"/>
        <w:spacing w:line="480" w:lineRule="auto"/>
        <w:jc w:val="both"/>
      </w:pPr>
    </w:p>
    <w:p w:rsidR="00E23EF0" w:rsidRPr="00E23EF0" w:rsidRDefault="00E23EF0" w:rsidP="00E23EF0">
      <w:pPr>
        <w:autoSpaceDE w:val="0"/>
        <w:autoSpaceDN w:val="0"/>
        <w:adjustRightInd w:val="0"/>
        <w:spacing w:line="480" w:lineRule="auto"/>
        <w:jc w:val="both"/>
        <w:rPr>
          <w:b/>
        </w:rPr>
      </w:pPr>
      <w:r w:rsidRPr="00E23EF0">
        <w:rPr>
          <w:b/>
        </w:rPr>
        <w:lastRenderedPageBreak/>
        <w:t>HASIL DAN PEMBAHASAN</w:t>
      </w:r>
    </w:p>
    <w:p w:rsidR="00950011" w:rsidRDefault="001D316D" w:rsidP="00E73D6D">
      <w:pPr>
        <w:autoSpaceDE w:val="0"/>
        <w:autoSpaceDN w:val="0"/>
        <w:adjustRightInd w:val="0"/>
        <w:spacing w:line="480" w:lineRule="auto"/>
        <w:jc w:val="both"/>
        <w:rPr>
          <w:b/>
          <w:bCs/>
          <w:iCs/>
        </w:rPr>
      </w:pPr>
      <w:r w:rsidRPr="001D316D">
        <w:rPr>
          <w:b/>
          <w:bCs/>
          <w:iCs/>
        </w:rPr>
        <w:t>Pengaruh Likuiditas, Waktu Jatuh Tempo dan Kupon Obligasi Terhadap Perubahan Harga Obligasi Berperingkat Rendah</w:t>
      </w:r>
    </w:p>
    <w:p w:rsidR="006A6A45" w:rsidRDefault="006A6A45" w:rsidP="006A6A45">
      <w:pPr>
        <w:pStyle w:val="ListParagraph"/>
        <w:autoSpaceDE w:val="0"/>
        <w:autoSpaceDN w:val="0"/>
        <w:adjustRightInd w:val="0"/>
        <w:spacing w:line="480" w:lineRule="auto"/>
        <w:ind w:left="0" w:firstLine="567"/>
        <w:jc w:val="both"/>
        <w:rPr>
          <w:rFonts w:ascii="Times New Roman" w:hAnsi="Times New Roman"/>
          <w:sz w:val="24"/>
          <w:szCs w:val="24"/>
        </w:rPr>
      </w:pPr>
      <w:proofErr w:type="gramStart"/>
      <w:r>
        <w:rPr>
          <w:rFonts w:ascii="Times New Roman" w:hAnsi="Times New Roman"/>
          <w:sz w:val="24"/>
          <w:szCs w:val="24"/>
        </w:rPr>
        <w:t>Tabel 1.</w:t>
      </w:r>
      <w:proofErr w:type="gramEnd"/>
      <w:r>
        <w:rPr>
          <w:rFonts w:ascii="Times New Roman" w:hAnsi="Times New Roman"/>
          <w:sz w:val="24"/>
          <w:szCs w:val="24"/>
        </w:rPr>
        <w:t xml:space="preserve"> </w:t>
      </w:r>
      <w:proofErr w:type="gramStart"/>
      <w:r>
        <w:rPr>
          <w:rFonts w:ascii="Times New Roman" w:hAnsi="Times New Roman"/>
          <w:sz w:val="24"/>
          <w:szCs w:val="24"/>
        </w:rPr>
        <w:t>berikut</w:t>
      </w:r>
      <w:proofErr w:type="gramEnd"/>
      <w:r>
        <w:rPr>
          <w:rFonts w:ascii="Times New Roman" w:hAnsi="Times New Roman"/>
          <w:sz w:val="24"/>
          <w:szCs w:val="24"/>
        </w:rPr>
        <w:t xml:space="preserve"> menunjukkan hasil perhitungan regresi linear berganda melalui uji statistik SPSS.</w:t>
      </w:r>
    </w:p>
    <w:p w:rsidR="00FF5897" w:rsidRDefault="006A6A45" w:rsidP="005A7CE3">
      <w:pPr>
        <w:autoSpaceDE w:val="0"/>
        <w:autoSpaceDN w:val="0"/>
        <w:adjustRightInd w:val="0"/>
        <w:ind w:left="994" w:hanging="994"/>
        <w:jc w:val="center"/>
        <w:rPr>
          <w:b/>
        </w:rPr>
      </w:pPr>
      <w:proofErr w:type="gramStart"/>
      <w:r>
        <w:rPr>
          <w:b/>
        </w:rPr>
        <w:t>Tabel 1.</w:t>
      </w:r>
      <w:proofErr w:type="gramEnd"/>
    </w:p>
    <w:p w:rsidR="006A6A45" w:rsidRDefault="006A6A45" w:rsidP="005A7CE3">
      <w:pPr>
        <w:autoSpaceDE w:val="0"/>
        <w:autoSpaceDN w:val="0"/>
        <w:adjustRightInd w:val="0"/>
        <w:ind w:left="994" w:hanging="994"/>
        <w:jc w:val="center"/>
        <w:rPr>
          <w:b/>
        </w:rPr>
      </w:pPr>
      <w:r>
        <w:rPr>
          <w:b/>
        </w:rPr>
        <w:t>Hasil Perhitungan Regresi Linear Berganda Obligasi Peringkat Rendah</w:t>
      </w:r>
    </w:p>
    <w:tbl>
      <w:tblPr>
        <w:tblW w:w="7870" w:type="dxa"/>
        <w:jc w:val="center"/>
        <w:tblInd w:w="-4144" w:type="dxa"/>
        <w:tblLook w:val="04A0"/>
      </w:tblPr>
      <w:tblGrid>
        <w:gridCol w:w="4358"/>
        <w:gridCol w:w="1932"/>
        <w:gridCol w:w="1580"/>
      </w:tblGrid>
      <w:tr w:rsidR="002A0CA0" w:rsidRPr="00C25369" w:rsidTr="005A7CE3">
        <w:trPr>
          <w:trHeight w:val="675"/>
          <w:jc w:val="center"/>
        </w:trPr>
        <w:tc>
          <w:tcPr>
            <w:tcW w:w="4358" w:type="dxa"/>
            <w:tcBorders>
              <w:top w:val="single" w:sz="8" w:space="0" w:color="auto"/>
              <w:bottom w:val="single" w:sz="8" w:space="0" w:color="auto"/>
              <w:right w:val="nil"/>
            </w:tcBorders>
            <w:shd w:val="clear" w:color="auto" w:fill="auto"/>
            <w:vAlign w:val="center"/>
            <w:hideMark/>
          </w:tcPr>
          <w:p w:rsidR="002A0CA0" w:rsidRPr="00C25369" w:rsidRDefault="002A0CA0" w:rsidP="006A6A45">
            <w:pPr>
              <w:jc w:val="center"/>
              <w:rPr>
                <w:rFonts w:eastAsia="Times New Roman"/>
                <w:b/>
                <w:bCs/>
                <w:color w:val="000000"/>
              </w:rPr>
            </w:pPr>
            <w:r w:rsidRPr="00C25369">
              <w:rPr>
                <w:rFonts w:eastAsia="Times New Roman"/>
                <w:b/>
                <w:bCs/>
                <w:color w:val="000000"/>
              </w:rPr>
              <w:t>Variabel Bebas</w:t>
            </w:r>
          </w:p>
        </w:tc>
        <w:tc>
          <w:tcPr>
            <w:tcW w:w="19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0CA0" w:rsidRDefault="000310E6" w:rsidP="006A6A45">
            <w:pPr>
              <w:jc w:val="center"/>
              <w:rPr>
                <w:rFonts w:eastAsia="Times New Roman"/>
                <w:b/>
                <w:bCs/>
                <w:color w:val="000000"/>
              </w:rPr>
            </w:pPr>
            <w:r>
              <w:rPr>
                <w:rFonts w:eastAsia="Times New Roman"/>
                <w:b/>
                <w:bCs/>
                <w:color w:val="000000"/>
              </w:rPr>
              <w:t>Koefisien</w:t>
            </w:r>
          </w:p>
          <w:p w:rsidR="000310E6" w:rsidRPr="00C25369" w:rsidRDefault="000310E6" w:rsidP="006A6A45">
            <w:pPr>
              <w:jc w:val="center"/>
              <w:rPr>
                <w:rFonts w:eastAsia="Times New Roman"/>
                <w:b/>
                <w:bCs/>
                <w:color w:val="000000"/>
              </w:rPr>
            </w:pPr>
            <w:r>
              <w:rPr>
                <w:rFonts w:eastAsia="Times New Roman"/>
                <w:b/>
                <w:bCs/>
                <w:color w:val="000000"/>
              </w:rPr>
              <w:t>Regresi</w:t>
            </w:r>
          </w:p>
        </w:tc>
        <w:tc>
          <w:tcPr>
            <w:tcW w:w="1580" w:type="dxa"/>
            <w:tcBorders>
              <w:top w:val="single" w:sz="8" w:space="0" w:color="auto"/>
              <w:left w:val="nil"/>
              <w:bottom w:val="single" w:sz="8" w:space="0" w:color="auto"/>
            </w:tcBorders>
            <w:shd w:val="clear" w:color="auto" w:fill="auto"/>
            <w:noWrap/>
            <w:vAlign w:val="center"/>
            <w:hideMark/>
          </w:tcPr>
          <w:p w:rsidR="002A0CA0" w:rsidRPr="00C25369" w:rsidRDefault="002A0CA0" w:rsidP="006A6A45">
            <w:pPr>
              <w:jc w:val="center"/>
              <w:rPr>
                <w:rFonts w:eastAsia="Times New Roman"/>
                <w:b/>
                <w:bCs/>
                <w:color w:val="000000"/>
              </w:rPr>
            </w:pPr>
            <w:r w:rsidRPr="00C25369">
              <w:rPr>
                <w:rFonts w:eastAsia="Times New Roman"/>
                <w:b/>
                <w:bCs/>
                <w:color w:val="000000"/>
              </w:rPr>
              <w:t>Signifikansi</w:t>
            </w:r>
          </w:p>
        </w:tc>
      </w:tr>
      <w:tr w:rsidR="002A0CA0" w:rsidRPr="00C25369" w:rsidTr="005A7CE3">
        <w:trPr>
          <w:trHeight w:val="330"/>
          <w:jc w:val="center"/>
        </w:trPr>
        <w:tc>
          <w:tcPr>
            <w:tcW w:w="4358" w:type="dxa"/>
            <w:tcBorders>
              <w:top w:val="nil"/>
              <w:bottom w:val="nil"/>
              <w:right w:val="nil"/>
            </w:tcBorders>
            <w:shd w:val="clear" w:color="auto" w:fill="auto"/>
            <w:vAlign w:val="bottom"/>
            <w:hideMark/>
          </w:tcPr>
          <w:p w:rsidR="002A0CA0" w:rsidRPr="00C25369" w:rsidRDefault="002A0CA0" w:rsidP="005C1AB0">
            <w:pPr>
              <w:rPr>
                <w:rFonts w:eastAsia="Times New Roman"/>
                <w:color w:val="000000"/>
                <w:sz w:val="20"/>
                <w:szCs w:val="20"/>
              </w:rPr>
            </w:pPr>
            <w:r w:rsidRPr="00C25369">
              <w:rPr>
                <w:rFonts w:eastAsia="Times New Roman"/>
                <w:color w:val="000000"/>
                <w:sz w:val="20"/>
                <w:szCs w:val="20"/>
              </w:rPr>
              <w:t>Likuiditas</w:t>
            </w:r>
          </w:p>
        </w:tc>
        <w:tc>
          <w:tcPr>
            <w:tcW w:w="1932" w:type="dxa"/>
            <w:tcBorders>
              <w:top w:val="nil"/>
              <w:left w:val="single" w:sz="4" w:space="0" w:color="auto"/>
              <w:bottom w:val="nil"/>
              <w:right w:val="nil"/>
            </w:tcBorders>
            <w:shd w:val="clear" w:color="auto" w:fill="auto"/>
            <w:vAlign w:val="center"/>
            <w:hideMark/>
          </w:tcPr>
          <w:p w:rsidR="002A0CA0" w:rsidRPr="00C25369" w:rsidRDefault="002A0CA0" w:rsidP="006A6A45">
            <w:pPr>
              <w:jc w:val="center"/>
              <w:rPr>
                <w:rFonts w:eastAsia="Times New Roman"/>
                <w:color w:val="000000"/>
                <w:sz w:val="20"/>
                <w:szCs w:val="20"/>
              </w:rPr>
            </w:pPr>
            <w:r w:rsidRPr="00C25369">
              <w:rPr>
                <w:rFonts w:eastAsia="Times New Roman"/>
                <w:color w:val="000000"/>
                <w:sz w:val="20"/>
                <w:szCs w:val="20"/>
              </w:rPr>
              <w:t>-0.576</w:t>
            </w:r>
          </w:p>
        </w:tc>
        <w:tc>
          <w:tcPr>
            <w:tcW w:w="1580" w:type="dxa"/>
            <w:tcBorders>
              <w:top w:val="nil"/>
              <w:left w:val="single" w:sz="4" w:space="0" w:color="auto"/>
              <w:bottom w:val="nil"/>
            </w:tcBorders>
            <w:shd w:val="clear" w:color="auto" w:fill="auto"/>
            <w:noWrap/>
            <w:vAlign w:val="center"/>
            <w:hideMark/>
          </w:tcPr>
          <w:p w:rsidR="002A0CA0" w:rsidRPr="00C25369" w:rsidRDefault="002A0CA0" w:rsidP="006A6A45">
            <w:pPr>
              <w:jc w:val="center"/>
              <w:rPr>
                <w:rFonts w:eastAsia="Times New Roman"/>
                <w:color w:val="000000"/>
                <w:sz w:val="20"/>
                <w:szCs w:val="20"/>
              </w:rPr>
            </w:pPr>
            <w:r w:rsidRPr="00C25369">
              <w:rPr>
                <w:rFonts w:eastAsia="Times New Roman"/>
                <w:color w:val="000000"/>
                <w:sz w:val="20"/>
                <w:szCs w:val="20"/>
              </w:rPr>
              <w:t>0.1</w:t>
            </w:r>
            <w:r>
              <w:rPr>
                <w:rFonts w:eastAsia="Times New Roman"/>
                <w:color w:val="000000"/>
                <w:sz w:val="20"/>
                <w:szCs w:val="20"/>
              </w:rPr>
              <w:t>16</w:t>
            </w:r>
          </w:p>
        </w:tc>
      </w:tr>
      <w:tr w:rsidR="002A0CA0" w:rsidRPr="00C25369" w:rsidTr="005A7CE3">
        <w:trPr>
          <w:trHeight w:val="330"/>
          <w:jc w:val="center"/>
        </w:trPr>
        <w:tc>
          <w:tcPr>
            <w:tcW w:w="4358" w:type="dxa"/>
            <w:tcBorders>
              <w:top w:val="nil"/>
              <w:bottom w:val="nil"/>
              <w:right w:val="nil"/>
            </w:tcBorders>
            <w:shd w:val="clear" w:color="auto" w:fill="auto"/>
            <w:vAlign w:val="bottom"/>
            <w:hideMark/>
          </w:tcPr>
          <w:p w:rsidR="002A0CA0" w:rsidRPr="00C25369" w:rsidRDefault="002A0CA0" w:rsidP="005C1AB0">
            <w:pPr>
              <w:rPr>
                <w:rFonts w:eastAsia="Times New Roman"/>
                <w:color w:val="000000"/>
                <w:sz w:val="20"/>
                <w:szCs w:val="20"/>
              </w:rPr>
            </w:pPr>
            <w:r w:rsidRPr="00C25369">
              <w:rPr>
                <w:rFonts w:eastAsia="Times New Roman"/>
                <w:color w:val="000000"/>
                <w:sz w:val="20"/>
                <w:szCs w:val="20"/>
              </w:rPr>
              <w:t>Waktu Jatuh Tempo</w:t>
            </w:r>
          </w:p>
        </w:tc>
        <w:tc>
          <w:tcPr>
            <w:tcW w:w="1932" w:type="dxa"/>
            <w:tcBorders>
              <w:top w:val="nil"/>
              <w:left w:val="single" w:sz="4" w:space="0" w:color="auto"/>
              <w:bottom w:val="nil"/>
              <w:right w:val="nil"/>
            </w:tcBorders>
            <w:shd w:val="clear" w:color="auto" w:fill="auto"/>
            <w:vAlign w:val="center"/>
            <w:hideMark/>
          </w:tcPr>
          <w:p w:rsidR="002A0CA0" w:rsidRPr="00C25369" w:rsidRDefault="002A0CA0" w:rsidP="006A6A45">
            <w:pPr>
              <w:jc w:val="center"/>
              <w:rPr>
                <w:rFonts w:eastAsia="Times New Roman"/>
                <w:color w:val="000000"/>
                <w:sz w:val="20"/>
                <w:szCs w:val="20"/>
              </w:rPr>
            </w:pPr>
            <w:r w:rsidRPr="00C25369">
              <w:rPr>
                <w:rFonts w:eastAsia="Times New Roman"/>
                <w:color w:val="000000"/>
                <w:sz w:val="20"/>
                <w:szCs w:val="20"/>
              </w:rPr>
              <w:t>-0.876</w:t>
            </w:r>
          </w:p>
        </w:tc>
        <w:tc>
          <w:tcPr>
            <w:tcW w:w="1580" w:type="dxa"/>
            <w:tcBorders>
              <w:top w:val="nil"/>
              <w:left w:val="single" w:sz="4" w:space="0" w:color="auto"/>
              <w:bottom w:val="nil"/>
            </w:tcBorders>
            <w:shd w:val="clear" w:color="auto" w:fill="auto"/>
            <w:noWrap/>
            <w:vAlign w:val="center"/>
            <w:hideMark/>
          </w:tcPr>
          <w:p w:rsidR="002A0CA0" w:rsidRPr="00C25369" w:rsidRDefault="002A0CA0" w:rsidP="006A6A45">
            <w:pPr>
              <w:jc w:val="center"/>
              <w:rPr>
                <w:rFonts w:eastAsia="Times New Roman"/>
                <w:color w:val="000000"/>
                <w:sz w:val="20"/>
                <w:szCs w:val="20"/>
              </w:rPr>
            </w:pPr>
            <w:r w:rsidRPr="00C25369">
              <w:rPr>
                <w:rFonts w:eastAsia="Times New Roman"/>
                <w:color w:val="000000"/>
                <w:sz w:val="20"/>
                <w:szCs w:val="20"/>
              </w:rPr>
              <w:t>0.01</w:t>
            </w:r>
            <w:r>
              <w:rPr>
                <w:rFonts w:eastAsia="Times New Roman"/>
                <w:color w:val="000000"/>
                <w:sz w:val="20"/>
                <w:szCs w:val="20"/>
              </w:rPr>
              <w:t>4</w:t>
            </w:r>
          </w:p>
        </w:tc>
      </w:tr>
      <w:tr w:rsidR="002A0CA0" w:rsidRPr="00C25369" w:rsidTr="005A7CE3">
        <w:trPr>
          <w:trHeight w:val="300"/>
          <w:jc w:val="center"/>
        </w:trPr>
        <w:tc>
          <w:tcPr>
            <w:tcW w:w="4358" w:type="dxa"/>
            <w:tcBorders>
              <w:top w:val="nil"/>
              <w:bottom w:val="single" w:sz="4" w:space="0" w:color="auto"/>
              <w:right w:val="nil"/>
            </w:tcBorders>
            <w:shd w:val="clear" w:color="auto" w:fill="auto"/>
            <w:vAlign w:val="bottom"/>
            <w:hideMark/>
          </w:tcPr>
          <w:p w:rsidR="002A0CA0" w:rsidRPr="00C25369" w:rsidRDefault="002A0CA0" w:rsidP="005C1AB0">
            <w:pPr>
              <w:rPr>
                <w:rFonts w:eastAsia="Times New Roman"/>
                <w:color w:val="000000"/>
                <w:sz w:val="20"/>
                <w:szCs w:val="20"/>
              </w:rPr>
            </w:pPr>
            <w:r w:rsidRPr="00C25369">
              <w:rPr>
                <w:rFonts w:eastAsia="Times New Roman"/>
                <w:color w:val="000000"/>
                <w:sz w:val="20"/>
                <w:szCs w:val="20"/>
              </w:rPr>
              <w:t>Kupon</w:t>
            </w:r>
          </w:p>
        </w:tc>
        <w:tc>
          <w:tcPr>
            <w:tcW w:w="1932" w:type="dxa"/>
            <w:tcBorders>
              <w:top w:val="nil"/>
              <w:left w:val="single" w:sz="4" w:space="0" w:color="auto"/>
              <w:bottom w:val="single" w:sz="4" w:space="0" w:color="auto"/>
              <w:right w:val="nil"/>
            </w:tcBorders>
            <w:shd w:val="clear" w:color="auto" w:fill="auto"/>
            <w:vAlign w:val="center"/>
            <w:hideMark/>
          </w:tcPr>
          <w:p w:rsidR="002A0CA0" w:rsidRPr="00C25369" w:rsidRDefault="002A0CA0" w:rsidP="006A6A45">
            <w:pPr>
              <w:jc w:val="center"/>
              <w:rPr>
                <w:rFonts w:eastAsia="Times New Roman"/>
                <w:color w:val="000000"/>
                <w:sz w:val="20"/>
                <w:szCs w:val="20"/>
              </w:rPr>
            </w:pPr>
            <w:r w:rsidRPr="00C25369">
              <w:rPr>
                <w:rFonts w:eastAsia="Times New Roman"/>
                <w:color w:val="000000"/>
                <w:sz w:val="20"/>
                <w:szCs w:val="20"/>
              </w:rPr>
              <w:t>-0.739</w:t>
            </w:r>
          </w:p>
        </w:tc>
        <w:tc>
          <w:tcPr>
            <w:tcW w:w="1580" w:type="dxa"/>
            <w:tcBorders>
              <w:top w:val="nil"/>
              <w:left w:val="single" w:sz="4" w:space="0" w:color="auto"/>
              <w:bottom w:val="single" w:sz="4" w:space="0" w:color="auto"/>
            </w:tcBorders>
            <w:shd w:val="clear" w:color="auto" w:fill="auto"/>
            <w:noWrap/>
            <w:vAlign w:val="center"/>
            <w:hideMark/>
          </w:tcPr>
          <w:p w:rsidR="002A0CA0" w:rsidRPr="00C25369" w:rsidRDefault="002A0CA0" w:rsidP="006A6A45">
            <w:pPr>
              <w:jc w:val="center"/>
              <w:rPr>
                <w:rFonts w:eastAsia="Times New Roman"/>
                <w:color w:val="000000"/>
                <w:sz w:val="20"/>
                <w:szCs w:val="20"/>
              </w:rPr>
            </w:pPr>
            <w:r w:rsidRPr="00C25369">
              <w:rPr>
                <w:rFonts w:eastAsia="Times New Roman"/>
                <w:color w:val="000000"/>
                <w:sz w:val="20"/>
                <w:szCs w:val="20"/>
              </w:rPr>
              <w:t>0.</w:t>
            </w:r>
            <w:r>
              <w:rPr>
                <w:rFonts w:eastAsia="Times New Roman"/>
                <w:color w:val="000000"/>
                <w:sz w:val="20"/>
                <w:szCs w:val="20"/>
              </w:rPr>
              <w:t>0</w:t>
            </w:r>
            <w:r w:rsidRPr="00C25369">
              <w:rPr>
                <w:rFonts w:eastAsia="Times New Roman"/>
                <w:color w:val="000000"/>
                <w:sz w:val="20"/>
                <w:szCs w:val="20"/>
              </w:rPr>
              <w:t>65</w:t>
            </w:r>
          </w:p>
        </w:tc>
      </w:tr>
      <w:tr w:rsidR="002A0CA0" w:rsidRPr="00C25369" w:rsidTr="005A7CE3">
        <w:trPr>
          <w:trHeight w:val="300"/>
          <w:jc w:val="center"/>
        </w:trPr>
        <w:tc>
          <w:tcPr>
            <w:tcW w:w="4358" w:type="dxa"/>
            <w:tcBorders>
              <w:top w:val="nil"/>
              <w:bottom w:val="nil"/>
              <w:right w:val="nil"/>
            </w:tcBorders>
            <w:shd w:val="clear" w:color="auto" w:fill="auto"/>
            <w:vAlign w:val="bottom"/>
            <w:hideMark/>
          </w:tcPr>
          <w:p w:rsidR="002A0CA0" w:rsidRPr="00C25369" w:rsidRDefault="002A0CA0" w:rsidP="005C1AB0">
            <w:pPr>
              <w:rPr>
                <w:rFonts w:eastAsia="Times New Roman"/>
                <w:color w:val="000000"/>
                <w:sz w:val="20"/>
                <w:szCs w:val="20"/>
              </w:rPr>
            </w:pPr>
            <w:r w:rsidRPr="00C25369">
              <w:rPr>
                <w:rFonts w:eastAsia="Times New Roman"/>
                <w:color w:val="000000"/>
                <w:sz w:val="20"/>
                <w:szCs w:val="20"/>
              </w:rPr>
              <w:t>Konstanta</w:t>
            </w:r>
          </w:p>
        </w:tc>
        <w:tc>
          <w:tcPr>
            <w:tcW w:w="1932" w:type="dxa"/>
            <w:tcBorders>
              <w:top w:val="nil"/>
              <w:left w:val="single" w:sz="4" w:space="0" w:color="auto"/>
              <w:bottom w:val="nil"/>
              <w:right w:val="nil"/>
            </w:tcBorders>
            <w:shd w:val="clear" w:color="auto" w:fill="auto"/>
            <w:vAlign w:val="center"/>
            <w:hideMark/>
          </w:tcPr>
          <w:p w:rsidR="002A0CA0" w:rsidRPr="00C25369" w:rsidRDefault="002A0CA0" w:rsidP="00D34AA1">
            <w:pPr>
              <w:jc w:val="center"/>
              <w:rPr>
                <w:rFonts w:eastAsia="Times New Roman"/>
                <w:color w:val="000000"/>
                <w:sz w:val="20"/>
                <w:szCs w:val="20"/>
              </w:rPr>
            </w:pPr>
            <w:r w:rsidRPr="00C25369">
              <w:rPr>
                <w:rFonts w:eastAsia="Times New Roman"/>
                <w:color w:val="000000"/>
                <w:sz w:val="20"/>
                <w:szCs w:val="20"/>
              </w:rPr>
              <w:t>0.601</w:t>
            </w:r>
          </w:p>
        </w:tc>
        <w:tc>
          <w:tcPr>
            <w:tcW w:w="1580" w:type="dxa"/>
            <w:tcBorders>
              <w:top w:val="nil"/>
              <w:left w:val="nil"/>
              <w:bottom w:val="nil"/>
            </w:tcBorders>
            <w:shd w:val="clear" w:color="auto" w:fill="auto"/>
            <w:noWrap/>
            <w:vAlign w:val="bottom"/>
            <w:hideMark/>
          </w:tcPr>
          <w:p w:rsidR="002A0CA0" w:rsidRPr="00C25369" w:rsidRDefault="002A0CA0" w:rsidP="005C1AB0">
            <w:pPr>
              <w:rPr>
                <w:rFonts w:ascii="Calibri" w:eastAsia="Times New Roman" w:hAnsi="Calibri"/>
                <w:color w:val="000000"/>
                <w:sz w:val="22"/>
                <w:szCs w:val="22"/>
              </w:rPr>
            </w:pPr>
            <w:r w:rsidRPr="00C25369">
              <w:rPr>
                <w:rFonts w:ascii="Calibri" w:eastAsia="Times New Roman" w:hAnsi="Calibri"/>
                <w:color w:val="000000"/>
                <w:sz w:val="22"/>
                <w:szCs w:val="22"/>
              </w:rPr>
              <w:t> </w:t>
            </w:r>
          </w:p>
        </w:tc>
      </w:tr>
      <w:tr w:rsidR="002A0CA0" w:rsidRPr="00C25369" w:rsidTr="005A7CE3">
        <w:trPr>
          <w:trHeight w:val="300"/>
          <w:jc w:val="center"/>
        </w:trPr>
        <w:tc>
          <w:tcPr>
            <w:tcW w:w="4358" w:type="dxa"/>
            <w:tcBorders>
              <w:top w:val="nil"/>
              <w:bottom w:val="nil"/>
              <w:right w:val="nil"/>
            </w:tcBorders>
            <w:shd w:val="clear" w:color="auto" w:fill="auto"/>
            <w:vAlign w:val="bottom"/>
            <w:hideMark/>
          </w:tcPr>
          <w:p w:rsidR="002A0CA0" w:rsidRPr="00C25369" w:rsidRDefault="002A0CA0" w:rsidP="005C1AB0">
            <w:pPr>
              <w:rPr>
                <w:rFonts w:eastAsia="Times New Roman"/>
                <w:i/>
                <w:iCs/>
                <w:color w:val="000000"/>
                <w:sz w:val="20"/>
                <w:szCs w:val="20"/>
              </w:rPr>
            </w:pPr>
            <w:r w:rsidRPr="00C25369">
              <w:rPr>
                <w:rFonts w:eastAsia="Times New Roman"/>
                <w:i/>
                <w:iCs/>
                <w:color w:val="000000"/>
                <w:sz w:val="20"/>
                <w:szCs w:val="20"/>
              </w:rPr>
              <w:t>Standard error of estimate</w:t>
            </w:r>
          </w:p>
        </w:tc>
        <w:tc>
          <w:tcPr>
            <w:tcW w:w="1932" w:type="dxa"/>
            <w:tcBorders>
              <w:top w:val="nil"/>
              <w:left w:val="single" w:sz="4" w:space="0" w:color="auto"/>
              <w:bottom w:val="nil"/>
              <w:right w:val="nil"/>
            </w:tcBorders>
            <w:shd w:val="clear" w:color="auto" w:fill="auto"/>
            <w:vAlign w:val="center"/>
            <w:hideMark/>
          </w:tcPr>
          <w:p w:rsidR="002A0CA0" w:rsidRPr="00C25369" w:rsidRDefault="002A0CA0" w:rsidP="00D34AA1">
            <w:pPr>
              <w:jc w:val="center"/>
              <w:rPr>
                <w:rFonts w:eastAsia="Times New Roman"/>
                <w:color w:val="000000"/>
                <w:sz w:val="20"/>
                <w:szCs w:val="20"/>
              </w:rPr>
            </w:pPr>
            <w:r w:rsidRPr="00C25369">
              <w:rPr>
                <w:rFonts w:eastAsia="Times New Roman"/>
                <w:color w:val="000000"/>
                <w:sz w:val="20"/>
                <w:szCs w:val="20"/>
              </w:rPr>
              <w:t>0.203</w:t>
            </w:r>
          </w:p>
        </w:tc>
        <w:tc>
          <w:tcPr>
            <w:tcW w:w="1580" w:type="dxa"/>
            <w:tcBorders>
              <w:top w:val="nil"/>
              <w:left w:val="nil"/>
              <w:bottom w:val="nil"/>
            </w:tcBorders>
            <w:shd w:val="clear" w:color="auto" w:fill="auto"/>
            <w:noWrap/>
            <w:vAlign w:val="bottom"/>
            <w:hideMark/>
          </w:tcPr>
          <w:p w:rsidR="002A0CA0" w:rsidRPr="00C25369" w:rsidRDefault="002A0CA0" w:rsidP="005C1AB0">
            <w:pPr>
              <w:rPr>
                <w:rFonts w:ascii="Calibri" w:eastAsia="Times New Roman" w:hAnsi="Calibri"/>
                <w:color w:val="000000"/>
                <w:sz w:val="22"/>
                <w:szCs w:val="22"/>
              </w:rPr>
            </w:pPr>
            <w:r w:rsidRPr="00C25369">
              <w:rPr>
                <w:rFonts w:ascii="Calibri" w:eastAsia="Times New Roman" w:hAnsi="Calibri"/>
                <w:color w:val="000000"/>
                <w:sz w:val="22"/>
                <w:szCs w:val="22"/>
              </w:rPr>
              <w:t> </w:t>
            </w:r>
          </w:p>
        </w:tc>
      </w:tr>
      <w:tr w:rsidR="002A0CA0" w:rsidRPr="00C25369" w:rsidTr="005A7CE3">
        <w:trPr>
          <w:trHeight w:val="315"/>
          <w:jc w:val="center"/>
        </w:trPr>
        <w:tc>
          <w:tcPr>
            <w:tcW w:w="4358" w:type="dxa"/>
            <w:tcBorders>
              <w:top w:val="nil"/>
              <w:bottom w:val="nil"/>
              <w:right w:val="nil"/>
            </w:tcBorders>
            <w:shd w:val="clear" w:color="auto" w:fill="auto"/>
            <w:vAlign w:val="bottom"/>
            <w:hideMark/>
          </w:tcPr>
          <w:p w:rsidR="002A0CA0" w:rsidRPr="00C25369" w:rsidRDefault="002A0CA0" w:rsidP="005C1AB0">
            <w:pPr>
              <w:rPr>
                <w:rFonts w:eastAsia="Times New Roman"/>
                <w:color w:val="000000"/>
                <w:sz w:val="20"/>
                <w:szCs w:val="20"/>
              </w:rPr>
            </w:pPr>
            <w:r w:rsidRPr="00C25369">
              <w:rPr>
                <w:rFonts w:eastAsia="Times New Roman"/>
                <w:color w:val="000000"/>
                <w:sz w:val="20"/>
                <w:szCs w:val="20"/>
              </w:rPr>
              <w:t xml:space="preserve">R </w:t>
            </w:r>
            <w:r w:rsidRPr="00C25369">
              <w:rPr>
                <w:rFonts w:eastAsia="Times New Roman"/>
                <w:i/>
                <w:iCs/>
                <w:color w:val="000000"/>
                <w:sz w:val="20"/>
                <w:szCs w:val="20"/>
              </w:rPr>
              <w:t>square</w:t>
            </w:r>
          </w:p>
        </w:tc>
        <w:tc>
          <w:tcPr>
            <w:tcW w:w="1932" w:type="dxa"/>
            <w:tcBorders>
              <w:top w:val="nil"/>
              <w:left w:val="single" w:sz="4" w:space="0" w:color="auto"/>
              <w:bottom w:val="nil"/>
              <w:right w:val="nil"/>
            </w:tcBorders>
            <w:shd w:val="clear" w:color="auto" w:fill="auto"/>
            <w:vAlign w:val="center"/>
            <w:hideMark/>
          </w:tcPr>
          <w:p w:rsidR="002A0CA0" w:rsidRPr="00C25369" w:rsidRDefault="002A0CA0" w:rsidP="00D34AA1">
            <w:pPr>
              <w:jc w:val="center"/>
              <w:rPr>
                <w:rFonts w:eastAsia="Times New Roman"/>
                <w:color w:val="000000"/>
                <w:sz w:val="20"/>
                <w:szCs w:val="20"/>
              </w:rPr>
            </w:pPr>
            <w:r w:rsidRPr="00C25369">
              <w:rPr>
                <w:rFonts w:eastAsia="Times New Roman"/>
                <w:color w:val="000000"/>
                <w:sz w:val="20"/>
                <w:szCs w:val="20"/>
              </w:rPr>
              <w:t>0.801</w:t>
            </w:r>
          </w:p>
        </w:tc>
        <w:tc>
          <w:tcPr>
            <w:tcW w:w="1580" w:type="dxa"/>
            <w:tcBorders>
              <w:top w:val="nil"/>
              <w:left w:val="nil"/>
              <w:bottom w:val="nil"/>
            </w:tcBorders>
            <w:shd w:val="clear" w:color="auto" w:fill="auto"/>
            <w:noWrap/>
            <w:vAlign w:val="bottom"/>
            <w:hideMark/>
          </w:tcPr>
          <w:p w:rsidR="002A0CA0" w:rsidRPr="00C25369" w:rsidRDefault="002A0CA0" w:rsidP="005C1AB0">
            <w:pPr>
              <w:rPr>
                <w:rFonts w:ascii="Calibri" w:eastAsia="Times New Roman" w:hAnsi="Calibri"/>
                <w:color w:val="000000"/>
                <w:sz w:val="22"/>
                <w:szCs w:val="22"/>
              </w:rPr>
            </w:pPr>
            <w:r w:rsidRPr="00C25369">
              <w:rPr>
                <w:rFonts w:ascii="Calibri" w:eastAsia="Times New Roman" w:hAnsi="Calibri"/>
                <w:color w:val="000000"/>
                <w:sz w:val="22"/>
                <w:szCs w:val="22"/>
              </w:rPr>
              <w:t> </w:t>
            </w:r>
          </w:p>
        </w:tc>
      </w:tr>
      <w:tr w:rsidR="002A0CA0" w:rsidRPr="00C25369" w:rsidTr="005A7CE3">
        <w:trPr>
          <w:trHeight w:val="315"/>
          <w:jc w:val="center"/>
        </w:trPr>
        <w:tc>
          <w:tcPr>
            <w:tcW w:w="4358" w:type="dxa"/>
            <w:tcBorders>
              <w:top w:val="nil"/>
              <w:bottom w:val="single" w:sz="8" w:space="0" w:color="auto"/>
              <w:right w:val="nil"/>
            </w:tcBorders>
            <w:shd w:val="clear" w:color="auto" w:fill="auto"/>
            <w:vAlign w:val="bottom"/>
            <w:hideMark/>
          </w:tcPr>
          <w:p w:rsidR="002A0CA0" w:rsidRPr="00C25369" w:rsidRDefault="002A0CA0" w:rsidP="005C1AB0">
            <w:pPr>
              <w:rPr>
                <w:rFonts w:eastAsia="Times New Roman"/>
                <w:color w:val="000000"/>
                <w:sz w:val="20"/>
                <w:szCs w:val="20"/>
              </w:rPr>
            </w:pPr>
            <w:r w:rsidRPr="00C25369">
              <w:rPr>
                <w:rFonts w:eastAsia="Times New Roman"/>
                <w:color w:val="000000"/>
                <w:sz w:val="20"/>
                <w:szCs w:val="20"/>
              </w:rPr>
              <w:t>Signifikansi</w:t>
            </w:r>
          </w:p>
        </w:tc>
        <w:tc>
          <w:tcPr>
            <w:tcW w:w="1932" w:type="dxa"/>
            <w:tcBorders>
              <w:top w:val="nil"/>
              <w:left w:val="single" w:sz="4" w:space="0" w:color="auto"/>
              <w:bottom w:val="single" w:sz="8" w:space="0" w:color="auto"/>
              <w:right w:val="nil"/>
            </w:tcBorders>
            <w:shd w:val="clear" w:color="auto" w:fill="auto"/>
            <w:vAlign w:val="center"/>
            <w:hideMark/>
          </w:tcPr>
          <w:p w:rsidR="002A0CA0" w:rsidRPr="00C25369" w:rsidRDefault="002A0CA0" w:rsidP="00D34AA1">
            <w:pPr>
              <w:jc w:val="center"/>
              <w:rPr>
                <w:rFonts w:eastAsia="Times New Roman"/>
                <w:color w:val="000000"/>
                <w:sz w:val="20"/>
                <w:szCs w:val="20"/>
              </w:rPr>
            </w:pPr>
            <w:r w:rsidRPr="00C25369">
              <w:rPr>
                <w:rFonts w:eastAsia="Times New Roman"/>
                <w:color w:val="000000"/>
                <w:sz w:val="20"/>
                <w:szCs w:val="20"/>
              </w:rPr>
              <w:t>0.031</w:t>
            </w:r>
          </w:p>
        </w:tc>
        <w:tc>
          <w:tcPr>
            <w:tcW w:w="1580" w:type="dxa"/>
            <w:tcBorders>
              <w:top w:val="nil"/>
              <w:left w:val="nil"/>
              <w:bottom w:val="single" w:sz="8" w:space="0" w:color="auto"/>
            </w:tcBorders>
            <w:shd w:val="clear" w:color="auto" w:fill="auto"/>
            <w:noWrap/>
            <w:vAlign w:val="bottom"/>
            <w:hideMark/>
          </w:tcPr>
          <w:p w:rsidR="002A0CA0" w:rsidRPr="00C25369" w:rsidRDefault="002A0CA0" w:rsidP="005C1AB0">
            <w:pPr>
              <w:rPr>
                <w:rFonts w:ascii="Calibri" w:eastAsia="Times New Roman" w:hAnsi="Calibri"/>
                <w:color w:val="000000"/>
                <w:sz w:val="22"/>
                <w:szCs w:val="22"/>
              </w:rPr>
            </w:pPr>
            <w:r w:rsidRPr="00C25369">
              <w:rPr>
                <w:rFonts w:ascii="Calibri" w:eastAsia="Times New Roman" w:hAnsi="Calibri"/>
                <w:color w:val="000000"/>
                <w:sz w:val="22"/>
                <w:szCs w:val="22"/>
              </w:rPr>
              <w:t> </w:t>
            </w:r>
          </w:p>
        </w:tc>
      </w:tr>
    </w:tbl>
    <w:p w:rsidR="006A6A45" w:rsidRPr="00CE5578" w:rsidRDefault="00CE5578" w:rsidP="00E73D6D">
      <w:pPr>
        <w:autoSpaceDE w:val="0"/>
        <w:autoSpaceDN w:val="0"/>
        <w:adjustRightInd w:val="0"/>
        <w:spacing w:line="480" w:lineRule="auto"/>
        <w:jc w:val="both"/>
        <w:rPr>
          <w:bCs/>
          <w:iCs/>
        </w:rPr>
      </w:pPr>
      <w:r w:rsidRPr="00CE5578">
        <w:rPr>
          <w:bCs/>
          <w:iCs/>
        </w:rPr>
        <w:t>Sumber: Lampiran</w:t>
      </w:r>
    </w:p>
    <w:p w:rsidR="004A565F" w:rsidRPr="00EB064A" w:rsidRDefault="004D3171" w:rsidP="005721AC">
      <w:pPr>
        <w:autoSpaceDE w:val="0"/>
        <w:autoSpaceDN w:val="0"/>
        <w:adjustRightInd w:val="0"/>
        <w:spacing w:line="480" w:lineRule="auto"/>
        <w:ind w:firstLine="567"/>
        <w:jc w:val="both"/>
      </w:pPr>
      <w:proofErr w:type="gramStart"/>
      <w:r>
        <w:t xml:space="preserve">Hasil uji analisis regresi linear berganda secara parsial menunjukkan bahwa </w:t>
      </w:r>
      <w:r w:rsidR="002A0CA0">
        <w:t>besar nilai koefisien regresi pada variabel likuiditas adalah sebesar -</w:t>
      </w:r>
      <w:r w:rsidR="00C921E4">
        <w:t>0</w:t>
      </w:r>
      <w:r w:rsidR="002A0CA0">
        <w:t xml:space="preserve">.576 dengan probabilitas signifikan sebesar 0.116 &gt; </w:t>
      </w:r>
      <w:r w:rsidR="002A0CA0" w:rsidRPr="006F3FA2">
        <w:rPr>
          <w:rFonts w:eastAsia="SymbolMT"/>
        </w:rPr>
        <w:t>α</w:t>
      </w:r>
      <w:r w:rsidR="002A0CA0">
        <w:rPr>
          <w:rFonts w:eastAsia="SymbolMT"/>
        </w:rPr>
        <w:t xml:space="preserve"> </w:t>
      </w:r>
      <w:r w:rsidR="002A0CA0" w:rsidRPr="006F3FA2">
        <w:rPr>
          <w:rFonts w:eastAsia="SymbolMT"/>
        </w:rPr>
        <w:t>tabel</w:t>
      </w:r>
      <w:r w:rsidR="002A0CA0">
        <w:rPr>
          <w:rFonts w:ascii="SymbolMT" w:eastAsia="SymbolMT" w:cs="SymbolMT"/>
          <w:sz w:val="23"/>
          <w:szCs w:val="23"/>
        </w:rPr>
        <w:t xml:space="preserve"> </w:t>
      </w:r>
      <w:r w:rsidR="002A0CA0">
        <w:t>0.05</w:t>
      </w:r>
      <w:r w:rsidR="003842E9">
        <w:t>.</w:t>
      </w:r>
      <w:proofErr w:type="gramEnd"/>
      <w:r w:rsidR="003842E9">
        <w:t xml:space="preserve"> </w:t>
      </w:r>
      <w:proofErr w:type="gramStart"/>
      <w:r>
        <w:t>Dapat disimpulkan bahwa perubahan harga obligasi berperingkat rendah</w:t>
      </w:r>
      <w:r w:rsidR="006D2B04">
        <w:t xml:space="preserve"> tidak dipengaruhi secara signifikan oleh likuiditas</w:t>
      </w:r>
      <w:r w:rsidR="003842E9">
        <w:t>.</w:t>
      </w:r>
      <w:proofErr w:type="gramEnd"/>
      <w:r w:rsidR="003842E9">
        <w:t xml:space="preserve"> </w:t>
      </w:r>
      <w:proofErr w:type="gramStart"/>
      <w:r w:rsidR="003842E9">
        <w:t xml:space="preserve">Variabel selanjutnya adalah waktu jatuh tempo, </w:t>
      </w:r>
      <w:r w:rsidR="00C921E4">
        <w:t xml:space="preserve">besar nilai koefisien regresi pada variabel waktu jatuh tempo adalah sebesar -0.876 dengan probabilitas signifikan sebesar 0.014 &lt; </w:t>
      </w:r>
      <w:r w:rsidR="00C921E4" w:rsidRPr="006F3FA2">
        <w:rPr>
          <w:rFonts w:eastAsia="SymbolMT"/>
        </w:rPr>
        <w:t>α</w:t>
      </w:r>
      <w:r w:rsidR="00C921E4">
        <w:rPr>
          <w:rFonts w:eastAsia="SymbolMT"/>
        </w:rPr>
        <w:t xml:space="preserve"> </w:t>
      </w:r>
      <w:r w:rsidR="00C921E4" w:rsidRPr="006F3FA2">
        <w:rPr>
          <w:rFonts w:eastAsia="SymbolMT"/>
        </w:rPr>
        <w:t>tabel</w:t>
      </w:r>
      <w:r w:rsidR="00C921E4">
        <w:rPr>
          <w:rFonts w:ascii="SymbolMT" w:eastAsia="SymbolMT" w:cs="SymbolMT"/>
          <w:sz w:val="23"/>
          <w:szCs w:val="23"/>
        </w:rPr>
        <w:t xml:space="preserve"> </w:t>
      </w:r>
      <w:r w:rsidR="00C921E4">
        <w:t>0.05.</w:t>
      </w:r>
      <w:proofErr w:type="gramEnd"/>
      <w:r w:rsidR="003842E9">
        <w:t xml:space="preserve"> </w:t>
      </w:r>
      <w:proofErr w:type="gramStart"/>
      <w:r w:rsidR="003842E9">
        <w:t xml:space="preserve">Dapat disimpulkan bahwa </w:t>
      </w:r>
      <w:r w:rsidR="008E7292">
        <w:t xml:space="preserve">perubahan harga obligasi berperingkat rendah dipengaruhi secara negatif signifikan oleh jangka </w:t>
      </w:r>
      <w:r w:rsidR="003842E9">
        <w:t>waktu jatuh tempo</w:t>
      </w:r>
      <w:r w:rsidR="00566AEB">
        <w:t>.</w:t>
      </w:r>
      <w:proofErr w:type="gramEnd"/>
      <w:r w:rsidR="00566AEB">
        <w:t xml:space="preserve"> </w:t>
      </w:r>
      <w:proofErr w:type="gramStart"/>
      <w:r w:rsidR="00566AEB">
        <w:t>V</w:t>
      </w:r>
      <w:r w:rsidR="00CC1A40">
        <w:t xml:space="preserve">ariabel terakhir adalah kupon, </w:t>
      </w:r>
      <w:r w:rsidR="00727692">
        <w:t xml:space="preserve">besar nilai koefisien regresi pada variabel kupon adalah sebesar -0.739 dengan probabilitas signifikan sebesar 0.065 &gt; </w:t>
      </w:r>
      <w:r w:rsidR="00727692" w:rsidRPr="006F3FA2">
        <w:rPr>
          <w:rFonts w:eastAsia="SymbolMT"/>
        </w:rPr>
        <w:t>α</w:t>
      </w:r>
      <w:r w:rsidR="00727692">
        <w:rPr>
          <w:rFonts w:eastAsia="SymbolMT"/>
        </w:rPr>
        <w:t xml:space="preserve"> </w:t>
      </w:r>
      <w:r w:rsidR="00727692" w:rsidRPr="006F3FA2">
        <w:rPr>
          <w:rFonts w:eastAsia="SymbolMT"/>
        </w:rPr>
        <w:t>tabel</w:t>
      </w:r>
      <w:r w:rsidR="00727692">
        <w:rPr>
          <w:rFonts w:ascii="SymbolMT" w:eastAsia="SymbolMT" w:cs="SymbolMT"/>
          <w:sz w:val="23"/>
          <w:szCs w:val="23"/>
        </w:rPr>
        <w:t xml:space="preserve"> </w:t>
      </w:r>
      <w:r w:rsidR="00727692">
        <w:t>0.05</w:t>
      </w:r>
      <w:r w:rsidR="00CC1A40">
        <w:t>.</w:t>
      </w:r>
      <w:proofErr w:type="gramEnd"/>
      <w:r w:rsidR="00CC1A40">
        <w:t xml:space="preserve"> </w:t>
      </w:r>
      <w:proofErr w:type="gramStart"/>
      <w:r w:rsidR="00CC1A40">
        <w:t xml:space="preserve">Dapat disimpulkan bahwa </w:t>
      </w:r>
      <w:r w:rsidR="00727692">
        <w:lastRenderedPageBreak/>
        <w:t xml:space="preserve">berpengaruh negatif tidak signifikan </w:t>
      </w:r>
      <w:r w:rsidR="00CC1A40">
        <w:t>terhadap perubahan harga obligasi berperingkat rendah.</w:t>
      </w:r>
      <w:proofErr w:type="gramEnd"/>
    </w:p>
    <w:p w:rsidR="001D316D" w:rsidRPr="001D316D" w:rsidRDefault="001D316D" w:rsidP="001D316D">
      <w:pPr>
        <w:autoSpaceDE w:val="0"/>
        <w:autoSpaceDN w:val="0"/>
        <w:adjustRightInd w:val="0"/>
        <w:spacing w:line="480" w:lineRule="auto"/>
        <w:jc w:val="both"/>
        <w:rPr>
          <w:b/>
          <w:bCs/>
          <w:iCs/>
        </w:rPr>
      </w:pPr>
      <w:r w:rsidRPr="001D316D">
        <w:rPr>
          <w:b/>
          <w:bCs/>
          <w:iCs/>
        </w:rPr>
        <w:t xml:space="preserve">Pengaruh Likuiditas, Waktu Jatuh Tempo dan Kupon Obligasi Terhadap Perubahan Harga Obligasi Berperingkat </w:t>
      </w:r>
      <w:r>
        <w:rPr>
          <w:b/>
          <w:bCs/>
          <w:iCs/>
        </w:rPr>
        <w:t>Tinggi</w:t>
      </w:r>
    </w:p>
    <w:p w:rsidR="00B876DD" w:rsidRDefault="00B876DD" w:rsidP="00B876DD">
      <w:pPr>
        <w:pStyle w:val="ListParagraph"/>
        <w:autoSpaceDE w:val="0"/>
        <w:autoSpaceDN w:val="0"/>
        <w:adjustRightInd w:val="0"/>
        <w:spacing w:line="480" w:lineRule="auto"/>
        <w:ind w:left="0" w:firstLine="567"/>
        <w:jc w:val="both"/>
        <w:rPr>
          <w:rFonts w:ascii="Times New Roman" w:hAnsi="Times New Roman"/>
          <w:sz w:val="24"/>
          <w:szCs w:val="24"/>
        </w:rPr>
      </w:pPr>
      <w:proofErr w:type="gramStart"/>
      <w:r>
        <w:rPr>
          <w:rFonts w:ascii="Times New Roman" w:hAnsi="Times New Roman"/>
          <w:sz w:val="24"/>
          <w:szCs w:val="24"/>
        </w:rPr>
        <w:t>Tabel 2.</w:t>
      </w:r>
      <w:proofErr w:type="gramEnd"/>
      <w:r>
        <w:rPr>
          <w:rFonts w:ascii="Times New Roman" w:hAnsi="Times New Roman"/>
          <w:sz w:val="24"/>
          <w:szCs w:val="24"/>
        </w:rPr>
        <w:t xml:space="preserve"> </w:t>
      </w:r>
      <w:proofErr w:type="gramStart"/>
      <w:r>
        <w:rPr>
          <w:rFonts w:ascii="Times New Roman" w:hAnsi="Times New Roman"/>
          <w:sz w:val="24"/>
          <w:szCs w:val="24"/>
        </w:rPr>
        <w:t>berikut</w:t>
      </w:r>
      <w:proofErr w:type="gramEnd"/>
      <w:r>
        <w:rPr>
          <w:rFonts w:ascii="Times New Roman" w:hAnsi="Times New Roman"/>
          <w:sz w:val="24"/>
          <w:szCs w:val="24"/>
        </w:rPr>
        <w:t xml:space="preserve"> menunjukkan hasil perhitungan regresi linear berganda melalui uji statistik SPSS.</w:t>
      </w:r>
    </w:p>
    <w:p w:rsidR="00610CA2" w:rsidRDefault="00610CA2" w:rsidP="007434DE">
      <w:pPr>
        <w:autoSpaceDE w:val="0"/>
        <w:autoSpaceDN w:val="0"/>
        <w:adjustRightInd w:val="0"/>
        <w:ind w:left="994" w:hanging="994"/>
        <w:jc w:val="center"/>
        <w:rPr>
          <w:b/>
        </w:rPr>
      </w:pPr>
      <w:proofErr w:type="gramStart"/>
      <w:r>
        <w:rPr>
          <w:b/>
        </w:rPr>
        <w:t>Tabel 2.</w:t>
      </w:r>
      <w:proofErr w:type="gramEnd"/>
    </w:p>
    <w:p w:rsidR="00266868" w:rsidRPr="00266868" w:rsidRDefault="00266868" w:rsidP="007434DE">
      <w:pPr>
        <w:autoSpaceDE w:val="0"/>
        <w:autoSpaceDN w:val="0"/>
        <w:adjustRightInd w:val="0"/>
        <w:ind w:left="994" w:hanging="994"/>
        <w:jc w:val="center"/>
        <w:rPr>
          <w:b/>
        </w:rPr>
      </w:pPr>
      <w:r>
        <w:rPr>
          <w:b/>
        </w:rPr>
        <w:t>Hasil Perhitungan Regresi Linear Be</w:t>
      </w:r>
      <w:r w:rsidR="005D46A5">
        <w:rPr>
          <w:b/>
        </w:rPr>
        <w:t>rganda Obligasi Peringkat Tinggi</w:t>
      </w:r>
    </w:p>
    <w:tbl>
      <w:tblPr>
        <w:tblW w:w="7990" w:type="dxa"/>
        <w:jc w:val="center"/>
        <w:tblInd w:w="-2422" w:type="dxa"/>
        <w:tblLook w:val="04A0"/>
      </w:tblPr>
      <w:tblGrid>
        <w:gridCol w:w="4637"/>
        <w:gridCol w:w="1923"/>
        <w:gridCol w:w="1430"/>
      </w:tblGrid>
      <w:tr w:rsidR="00610CA2" w:rsidRPr="00F66B89" w:rsidTr="00DB66CC">
        <w:trPr>
          <w:trHeight w:val="675"/>
          <w:jc w:val="center"/>
        </w:trPr>
        <w:tc>
          <w:tcPr>
            <w:tcW w:w="4637" w:type="dxa"/>
            <w:tcBorders>
              <w:top w:val="single" w:sz="8" w:space="0" w:color="auto"/>
              <w:bottom w:val="single" w:sz="8" w:space="0" w:color="auto"/>
              <w:right w:val="nil"/>
            </w:tcBorders>
            <w:shd w:val="clear" w:color="auto" w:fill="auto"/>
            <w:vAlign w:val="center"/>
            <w:hideMark/>
          </w:tcPr>
          <w:p w:rsidR="00610CA2" w:rsidRPr="00F66B89" w:rsidRDefault="00610CA2" w:rsidP="005D46A5">
            <w:pPr>
              <w:jc w:val="center"/>
              <w:rPr>
                <w:rFonts w:eastAsia="Times New Roman"/>
                <w:b/>
                <w:bCs/>
                <w:color w:val="000000"/>
              </w:rPr>
            </w:pPr>
            <w:r w:rsidRPr="00F66B89">
              <w:rPr>
                <w:rFonts w:eastAsia="Times New Roman"/>
                <w:b/>
                <w:bCs/>
                <w:color w:val="000000"/>
              </w:rPr>
              <w:t>Variabel Bebas</w:t>
            </w:r>
          </w:p>
        </w:tc>
        <w:tc>
          <w:tcPr>
            <w:tcW w:w="19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0CA2" w:rsidRDefault="00CA36D0" w:rsidP="005D46A5">
            <w:pPr>
              <w:jc w:val="center"/>
              <w:rPr>
                <w:rFonts w:eastAsia="Times New Roman"/>
                <w:b/>
                <w:bCs/>
                <w:color w:val="000000"/>
              </w:rPr>
            </w:pPr>
            <w:r>
              <w:rPr>
                <w:rFonts w:eastAsia="Times New Roman"/>
                <w:b/>
                <w:bCs/>
                <w:color w:val="000000"/>
              </w:rPr>
              <w:t>Koefisien</w:t>
            </w:r>
          </w:p>
          <w:p w:rsidR="00CA36D0" w:rsidRPr="00F66B89" w:rsidRDefault="00CA36D0" w:rsidP="005D46A5">
            <w:pPr>
              <w:jc w:val="center"/>
              <w:rPr>
                <w:rFonts w:eastAsia="Times New Roman"/>
                <w:b/>
                <w:bCs/>
                <w:color w:val="000000"/>
              </w:rPr>
            </w:pPr>
            <w:r>
              <w:rPr>
                <w:rFonts w:eastAsia="Times New Roman"/>
                <w:b/>
                <w:bCs/>
                <w:color w:val="000000"/>
              </w:rPr>
              <w:t>Regresi</w:t>
            </w:r>
          </w:p>
        </w:tc>
        <w:tc>
          <w:tcPr>
            <w:tcW w:w="1430" w:type="dxa"/>
            <w:tcBorders>
              <w:top w:val="single" w:sz="8" w:space="0" w:color="auto"/>
              <w:left w:val="nil"/>
              <w:bottom w:val="single" w:sz="8" w:space="0" w:color="auto"/>
            </w:tcBorders>
            <w:shd w:val="clear" w:color="auto" w:fill="auto"/>
            <w:noWrap/>
            <w:vAlign w:val="center"/>
            <w:hideMark/>
          </w:tcPr>
          <w:p w:rsidR="00610CA2" w:rsidRPr="00F66B89" w:rsidRDefault="00610CA2" w:rsidP="005D46A5">
            <w:pPr>
              <w:jc w:val="center"/>
              <w:rPr>
                <w:rFonts w:eastAsia="Times New Roman"/>
                <w:b/>
                <w:bCs/>
                <w:color w:val="000000"/>
              </w:rPr>
            </w:pPr>
            <w:r w:rsidRPr="00F66B89">
              <w:rPr>
                <w:rFonts w:eastAsia="Times New Roman"/>
                <w:b/>
                <w:bCs/>
                <w:color w:val="000000"/>
              </w:rPr>
              <w:t>Signifikansi</w:t>
            </w:r>
          </w:p>
        </w:tc>
      </w:tr>
      <w:tr w:rsidR="00610CA2" w:rsidRPr="00F66B89" w:rsidTr="00DB66CC">
        <w:trPr>
          <w:trHeight w:val="330"/>
          <w:jc w:val="center"/>
        </w:trPr>
        <w:tc>
          <w:tcPr>
            <w:tcW w:w="4637" w:type="dxa"/>
            <w:tcBorders>
              <w:top w:val="nil"/>
              <w:bottom w:val="nil"/>
              <w:right w:val="nil"/>
            </w:tcBorders>
            <w:shd w:val="clear" w:color="auto" w:fill="auto"/>
            <w:vAlign w:val="bottom"/>
            <w:hideMark/>
          </w:tcPr>
          <w:p w:rsidR="00610CA2" w:rsidRPr="00F66B89" w:rsidRDefault="00610CA2" w:rsidP="005C1AB0">
            <w:pPr>
              <w:rPr>
                <w:rFonts w:eastAsia="Times New Roman"/>
                <w:color w:val="000000"/>
                <w:sz w:val="20"/>
                <w:szCs w:val="20"/>
              </w:rPr>
            </w:pPr>
            <w:r w:rsidRPr="00F66B89">
              <w:rPr>
                <w:rFonts w:eastAsia="Times New Roman"/>
                <w:color w:val="000000"/>
                <w:sz w:val="20"/>
                <w:szCs w:val="20"/>
              </w:rPr>
              <w:t>Likuiditas</w:t>
            </w:r>
          </w:p>
        </w:tc>
        <w:tc>
          <w:tcPr>
            <w:tcW w:w="1923" w:type="dxa"/>
            <w:tcBorders>
              <w:top w:val="nil"/>
              <w:left w:val="single" w:sz="4" w:space="0" w:color="auto"/>
              <w:bottom w:val="nil"/>
              <w:right w:val="nil"/>
            </w:tcBorders>
            <w:shd w:val="clear" w:color="auto" w:fill="auto"/>
            <w:vAlign w:val="center"/>
            <w:hideMark/>
          </w:tcPr>
          <w:p w:rsidR="00610CA2" w:rsidRPr="00F66B89" w:rsidRDefault="00610CA2" w:rsidP="005D46A5">
            <w:pPr>
              <w:jc w:val="center"/>
              <w:rPr>
                <w:rFonts w:eastAsia="Times New Roman"/>
                <w:color w:val="000000"/>
                <w:sz w:val="20"/>
                <w:szCs w:val="20"/>
              </w:rPr>
            </w:pPr>
            <w:r w:rsidRPr="00F66B89">
              <w:rPr>
                <w:rFonts w:eastAsia="Times New Roman"/>
                <w:color w:val="000000"/>
                <w:sz w:val="20"/>
                <w:szCs w:val="20"/>
              </w:rPr>
              <w:t>1.205</w:t>
            </w:r>
          </w:p>
        </w:tc>
        <w:tc>
          <w:tcPr>
            <w:tcW w:w="1430" w:type="dxa"/>
            <w:tcBorders>
              <w:top w:val="nil"/>
              <w:left w:val="single" w:sz="4" w:space="0" w:color="auto"/>
              <w:bottom w:val="nil"/>
            </w:tcBorders>
            <w:shd w:val="clear" w:color="auto" w:fill="auto"/>
            <w:noWrap/>
            <w:vAlign w:val="center"/>
            <w:hideMark/>
          </w:tcPr>
          <w:p w:rsidR="00610CA2" w:rsidRPr="00F66B89" w:rsidRDefault="00610CA2" w:rsidP="005D46A5">
            <w:pPr>
              <w:jc w:val="center"/>
              <w:rPr>
                <w:rFonts w:eastAsia="Times New Roman"/>
                <w:color w:val="000000"/>
                <w:sz w:val="20"/>
                <w:szCs w:val="20"/>
              </w:rPr>
            </w:pPr>
            <w:r w:rsidRPr="00F66B89">
              <w:rPr>
                <w:rFonts w:eastAsia="Times New Roman"/>
                <w:color w:val="000000"/>
                <w:sz w:val="20"/>
                <w:szCs w:val="20"/>
              </w:rPr>
              <w:t>0.</w:t>
            </w:r>
            <w:r>
              <w:rPr>
                <w:rFonts w:eastAsia="Times New Roman"/>
                <w:color w:val="000000"/>
                <w:sz w:val="20"/>
                <w:szCs w:val="20"/>
              </w:rPr>
              <w:t>0</w:t>
            </w:r>
            <w:r w:rsidRPr="00F66B89">
              <w:rPr>
                <w:rFonts w:eastAsia="Times New Roman"/>
                <w:color w:val="000000"/>
                <w:sz w:val="20"/>
                <w:szCs w:val="20"/>
              </w:rPr>
              <w:t>10</w:t>
            </w:r>
          </w:p>
        </w:tc>
      </w:tr>
      <w:tr w:rsidR="00610CA2" w:rsidRPr="00F66B89" w:rsidTr="00DB66CC">
        <w:trPr>
          <w:trHeight w:val="330"/>
          <w:jc w:val="center"/>
        </w:trPr>
        <w:tc>
          <w:tcPr>
            <w:tcW w:w="4637" w:type="dxa"/>
            <w:tcBorders>
              <w:top w:val="nil"/>
              <w:bottom w:val="nil"/>
              <w:right w:val="nil"/>
            </w:tcBorders>
            <w:shd w:val="clear" w:color="auto" w:fill="auto"/>
            <w:vAlign w:val="bottom"/>
            <w:hideMark/>
          </w:tcPr>
          <w:p w:rsidR="00610CA2" w:rsidRPr="00F66B89" w:rsidRDefault="00610CA2" w:rsidP="005C1AB0">
            <w:pPr>
              <w:rPr>
                <w:rFonts w:eastAsia="Times New Roman"/>
                <w:color w:val="000000"/>
                <w:sz w:val="20"/>
                <w:szCs w:val="20"/>
              </w:rPr>
            </w:pPr>
            <w:r w:rsidRPr="00F66B89">
              <w:rPr>
                <w:rFonts w:eastAsia="Times New Roman"/>
                <w:color w:val="000000"/>
                <w:sz w:val="20"/>
                <w:szCs w:val="20"/>
              </w:rPr>
              <w:t>Waktu Jatuh Tempo</w:t>
            </w:r>
          </w:p>
        </w:tc>
        <w:tc>
          <w:tcPr>
            <w:tcW w:w="1923" w:type="dxa"/>
            <w:tcBorders>
              <w:top w:val="nil"/>
              <w:left w:val="single" w:sz="4" w:space="0" w:color="auto"/>
              <w:bottom w:val="nil"/>
              <w:right w:val="nil"/>
            </w:tcBorders>
            <w:shd w:val="clear" w:color="auto" w:fill="auto"/>
            <w:vAlign w:val="center"/>
            <w:hideMark/>
          </w:tcPr>
          <w:p w:rsidR="00610CA2" w:rsidRPr="00F66B89" w:rsidRDefault="00610CA2" w:rsidP="005D46A5">
            <w:pPr>
              <w:jc w:val="center"/>
              <w:rPr>
                <w:rFonts w:eastAsia="Times New Roman"/>
                <w:color w:val="000000"/>
                <w:sz w:val="20"/>
                <w:szCs w:val="20"/>
              </w:rPr>
            </w:pPr>
            <w:r w:rsidRPr="00F66B89">
              <w:rPr>
                <w:rFonts w:eastAsia="Times New Roman"/>
                <w:color w:val="000000"/>
                <w:sz w:val="20"/>
                <w:szCs w:val="20"/>
              </w:rPr>
              <w:t>0.191</w:t>
            </w:r>
          </w:p>
        </w:tc>
        <w:tc>
          <w:tcPr>
            <w:tcW w:w="1430" w:type="dxa"/>
            <w:tcBorders>
              <w:top w:val="nil"/>
              <w:left w:val="single" w:sz="4" w:space="0" w:color="auto"/>
              <w:bottom w:val="nil"/>
            </w:tcBorders>
            <w:shd w:val="clear" w:color="auto" w:fill="auto"/>
            <w:noWrap/>
            <w:vAlign w:val="center"/>
            <w:hideMark/>
          </w:tcPr>
          <w:p w:rsidR="00610CA2" w:rsidRPr="00F66B89" w:rsidRDefault="00610CA2" w:rsidP="005D46A5">
            <w:pPr>
              <w:jc w:val="center"/>
              <w:rPr>
                <w:rFonts w:eastAsia="Times New Roman"/>
                <w:color w:val="000000"/>
                <w:sz w:val="20"/>
                <w:szCs w:val="20"/>
              </w:rPr>
            </w:pPr>
            <w:r w:rsidRPr="00F66B89">
              <w:rPr>
                <w:rFonts w:eastAsia="Times New Roman"/>
                <w:color w:val="000000"/>
                <w:sz w:val="20"/>
                <w:szCs w:val="20"/>
              </w:rPr>
              <w:t>0.42</w:t>
            </w:r>
            <w:r>
              <w:rPr>
                <w:rFonts w:eastAsia="Times New Roman"/>
                <w:color w:val="000000"/>
                <w:sz w:val="20"/>
                <w:szCs w:val="20"/>
              </w:rPr>
              <w:t>2</w:t>
            </w:r>
          </w:p>
        </w:tc>
      </w:tr>
      <w:tr w:rsidR="00610CA2" w:rsidRPr="00F66B89" w:rsidTr="00DB66CC">
        <w:trPr>
          <w:trHeight w:val="300"/>
          <w:jc w:val="center"/>
        </w:trPr>
        <w:tc>
          <w:tcPr>
            <w:tcW w:w="4637" w:type="dxa"/>
            <w:tcBorders>
              <w:top w:val="nil"/>
              <w:bottom w:val="single" w:sz="4" w:space="0" w:color="auto"/>
              <w:right w:val="nil"/>
            </w:tcBorders>
            <w:shd w:val="clear" w:color="auto" w:fill="auto"/>
            <w:vAlign w:val="bottom"/>
            <w:hideMark/>
          </w:tcPr>
          <w:p w:rsidR="00610CA2" w:rsidRPr="00F66B89" w:rsidRDefault="00610CA2" w:rsidP="005C1AB0">
            <w:pPr>
              <w:rPr>
                <w:rFonts w:eastAsia="Times New Roman"/>
                <w:color w:val="000000"/>
                <w:sz w:val="20"/>
                <w:szCs w:val="20"/>
              </w:rPr>
            </w:pPr>
            <w:r w:rsidRPr="00F66B89">
              <w:rPr>
                <w:rFonts w:eastAsia="Times New Roman"/>
                <w:color w:val="000000"/>
                <w:sz w:val="20"/>
                <w:szCs w:val="20"/>
              </w:rPr>
              <w:t>Kupon</w:t>
            </w:r>
          </w:p>
        </w:tc>
        <w:tc>
          <w:tcPr>
            <w:tcW w:w="1923" w:type="dxa"/>
            <w:tcBorders>
              <w:top w:val="nil"/>
              <w:left w:val="single" w:sz="4" w:space="0" w:color="auto"/>
              <w:bottom w:val="single" w:sz="4" w:space="0" w:color="auto"/>
              <w:right w:val="nil"/>
            </w:tcBorders>
            <w:shd w:val="clear" w:color="auto" w:fill="auto"/>
            <w:vAlign w:val="center"/>
            <w:hideMark/>
          </w:tcPr>
          <w:p w:rsidR="00610CA2" w:rsidRPr="00F66B89" w:rsidRDefault="00610CA2" w:rsidP="005D46A5">
            <w:pPr>
              <w:jc w:val="center"/>
              <w:rPr>
                <w:rFonts w:eastAsia="Times New Roman"/>
                <w:color w:val="000000"/>
                <w:sz w:val="20"/>
                <w:szCs w:val="20"/>
              </w:rPr>
            </w:pPr>
            <w:r w:rsidRPr="00F66B89">
              <w:rPr>
                <w:rFonts w:eastAsia="Times New Roman"/>
                <w:color w:val="000000"/>
                <w:sz w:val="20"/>
                <w:szCs w:val="20"/>
              </w:rPr>
              <w:t>0.947</w:t>
            </w:r>
          </w:p>
        </w:tc>
        <w:tc>
          <w:tcPr>
            <w:tcW w:w="1430" w:type="dxa"/>
            <w:tcBorders>
              <w:top w:val="nil"/>
              <w:left w:val="single" w:sz="4" w:space="0" w:color="auto"/>
              <w:bottom w:val="single" w:sz="4" w:space="0" w:color="auto"/>
            </w:tcBorders>
            <w:shd w:val="clear" w:color="auto" w:fill="auto"/>
            <w:noWrap/>
            <w:vAlign w:val="center"/>
            <w:hideMark/>
          </w:tcPr>
          <w:p w:rsidR="00610CA2" w:rsidRPr="00F66B89" w:rsidRDefault="00610CA2" w:rsidP="005D46A5">
            <w:pPr>
              <w:jc w:val="center"/>
              <w:rPr>
                <w:rFonts w:eastAsia="Times New Roman"/>
                <w:color w:val="000000"/>
                <w:sz w:val="20"/>
                <w:szCs w:val="20"/>
              </w:rPr>
            </w:pPr>
            <w:r>
              <w:rPr>
                <w:rFonts w:eastAsia="Times New Roman"/>
                <w:color w:val="000000"/>
                <w:sz w:val="20"/>
                <w:szCs w:val="20"/>
              </w:rPr>
              <w:t>0.026</w:t>
            </w:r>
          </w:p>
        </w:tc>
      </w:tr>
      <w:tr w:rsidR="00610CA2" w:rsidRPr="00F66B89" w:rsidTr="00DB66CC">
        <w:trPr>
          <w:trHeight w:val="300"/>
          <w:jc w:val="center"/>
        </w:trPr>
        <w:tc>
          <w:tcPr>
            <w:tcW w:w="4637" w:type="dxa"/>
            <w:tcBorders>
              <w:top w:val="nil"/>
              <w:bottom w:val="nil"/>
              <w:right w:val="nil"/>
            </w:tcBorders>
            <w:shd w:val="clear" w:color="auto" w:fill="auto"/>
            <w:vAlign w:val="bottom"/>
            <w:hideMark/>
          </w:tcPr>
          <w:p w:rsidR="00610CA2" w:rsidRPr="00F66B89" w:rsidRDefault="00610CA2" w:rsidP="005C1AB0">
            <w:pPr>
              <w:rPr>
                <w:rFonts w:eastAsia="Times New Roman"/>
                <w:color w:val="000000"/>
                <w:sz w:val="20"/>
                <w:szCs w:val="20"/>
              </w:rPr>
            </w:pPr>
            <w:r w:rsidRPr="00F66B89">
              <w:rPr>
                <w:rFonts w:eastAsia="Times New Roman"/>
                <w:color w:val="000000"/>
                <w:sz w:val="20"/>
                <w:szCs w:val="20"/>
              </w:rPr>
              <w:t>Konstanta</w:t>
            </w:r>
          </w:p>
        </w:tc>
        <w:tc>
          <w:tcPr>
            <w:tcW w:w="1923" w:type="dxa"/>
            <w:tcBorders>
              <w:top w:val="nil"/>
              <w:left w:val="single" w:sz="4" w:space="0" w:color="auto"/>
              <w:bottom w:val="nil"/>
              <w:right w:val="nil"/>
            </w:tcBorders>
            <w:shd w:val="clear" w:color="auto" w:fill="auto"/>
            <w:vAlign w:val="center"/>
            <w:hideMark/>
          </w:tcPr>
          <w:p w:rsidR="00610CA2" w:rsidRPr="00F66B89" w:rsidRDefault="00610CA2" w:rsidP="00D34AA1">
            <w:pPr>
              <w:jc w:val="center"/>
              <w:rPr>
                <w:rFonts w:eastAsia="Times New Roman"/>
                <w:color w:val="000000"/>
                <w:sz w:val="20"/>
                <w:szCs w:val="20"/>
              </w:rPr>
            </w:pPr>
            <w:r w:rsidRPr="00F66B89">
              <w:rPr>
                <w:rFonts w:eastAsia="Times New Roman"/>
                <w:color w:val="000000"/>
                <w:sz w:val="20"/>
                <w:szCs w:val="20"/>
              </w:rPr>
              <w:t>-0.809</w:t>
            </w:r>
          </w:p>
        </w:tc>
        <w:tc>
          <w:tcPr>
            <w:tcW w:w="1430" w:type="dxa"/>
            <w:tcBorders>
              <w:top w:val="nil"/>
              <w:left w:val="nil"/>
              <w:bottom w:val="nil"/>
            </w:tcBorders>
            <w:shd w:val="clear" w:color="auto" w:fill="auto"/>
            <w:noWrap/>
            <w:vAlign w:val="bottom"/>
            <w:hideMark/>
          </w:tcPr>
          <w:p w:rsidR="00610CA2" w:rsidRPr="00F66B89" w:rsidRDefault="00610CA2" w:rsidP="005C1AB0">
            <w:pPr>
              <w:rPr>
                <w:rFonts w:ascii="Calibri" w:eastAsia="Times New Roman" w:hAnsi="Calibri"/>
                <w:color w:val="000000"/>
                <w:sz w:val="22"/>
                <w:szCs w:val="22"/>
              </w:rPr>
            </w:pPr>
            <w:r w:rsidRPr="00F66B89">
              <w:rPr>
                <w:rFonts w:ascii="Calibri" w:eastAsia="Times New Roman" w:hAnsi="Calibri"/>
                <w:color w:val="000000"/>
                <w:sz w:val="22"/>
                <w:szCs w:val="22"/>
              </w:rPr>
              <w:t> </w:t>
            </w:r>
          </w:p>
        </w:tc>
      </w:tr>
      <w:tr w:rsidR="00610CA2" w:rsidRPr="00F66B89" w:rsidTr="00DB66CC">
        <w:trPr>
          <w:trHeight w:val="300"/>
          <w:jc w:val="center"/>
        </w:trPr>
        <w:tc>
          <w:tcPr>
            <w:tcW w:w="4637" w:type="dxa"/>
            <w:tcBorders>
              <w:top w:val="nil"/>
              <w:bottom w:val="nil"/>
              <w:right w:val="nil"/>
            </w:tcBorders>
            <w:shd w:val="clear" w:color="auto" w:fill="auto"/>
            <w:vAlign w:val="bottom"/>
            <w:hideMark/>
          </w:tcPr>
          <w:p w:rsidR="00610CA2" w:rsidRPr="00F66B89" w:rsidRDefault="00610CA2" w:rsidP="005C1AB0">
            <w:pPr>
              <w:rPr>
                <w:rFonts w:eastAsia="Times New Roman"/>
                <w:i/>
                <w:iCs/>
                <w:color w:val="000000"/>
                <w:sz w:val="20"/>
                <w:szCs w:val="20"/>
              </w:rPr>
            </w:pPr>
            <w:r w:rsidRPr="00F66B89">
              <w:rPr>
                <w:rFonts w:eastAsia="Times New Roman"/>
                <w:i/>
                <w:iCs/>
                <w:color w:val="000000"/>
                <w:sz w:val="20"/>
                <w:szCs w:val="20"/>
              </w:rPr>
              <w:t>Standard error of estimate</w:t>
            </w:r>
          </w:p>
        </w:tc>
        <w:tc>
          <w:tcPr>
            <w:tcW w:w="1923" w:type="dxa"/>
            <w:tcBorders>
              <w:top w:val="nil"/>
              <w:left w:val="single" w:sz="4" w:space="0" w:color="auto"/>
              <w:bottom w:val="nil"/>
              <w:right w:val="nil"/>
            </w:tcBorders>
            <w:shd w:val="clear" w:color="auto" w:fill="auto"/>
            <w:vAlign w:val="center"/>
            <w:hideMark/>
          </w:tcPr>
          <w:p w:rsidR="00610CA2" w:rsidRPr="00F66B89" w:rsidRDefault="00610CA2" w:rsidP="00D34AA1">
            <w:pPr>
              <w:jc w:val="center"/>
              <w:rPr>
                <w:rFonts w:eastAsia="Times New Roman"/>
                <w:color w:val="000000"/>
                <w:sz w:val="20"/>
                <w:szCs w:val="20"/>
              </w:rPr>
            </w:pPr>
            <w:r w:rsidRPr="00F66B89">
              <w:rPr>
                <w:rFonts w:eastAsia="Times New Roman"/>
                <w:color w:val="000000"/>
                <w:sz w:val="20"/>
                <w:szCs w:val="20"/>
              </w:rPr>
              <w:t>0.026</w:t>
            </w:r>
          </w:p>
        </w:tc>
        <w:tc>
          <w:tcPr>
            <w:tcW w:w="1430" w:type="dxa"/>
            <w:tcBorders>
              <w:top w:val="nil"/>
              <w:left w:val="nil"/>
              <w:bottom w:val="nil"/>
            </w:tcBorders>
            <w:shd w:val="clear" w:color="auto" w:fill="auto"/>
            <w:noWrap/>
            <w:vAlign w:val="bottom"/>
            <w:hideMark/>
          </w:tcPr>
          <w:p w:rsidR="00610CA2" w:rsidRPr="00F66B89" w:rsidRDefault="00610CA2" w:rsidP="005C1AB0">
            <w:pPr>
              <w:rPr>
                <w:rFonts w:ascii="Calibri" w:eastAsia="Times New Roman" w:hAnsi="Calibri"/>
                <w:color w:val="000000"/>
                <w:sz w:val="22"/>
                <w:szCs w:val="22"/>
              </w:rPr>
            </w:pPr>
            <w:r w:rsidRPr="00F66B89">
              <w:rPr>
                <w:rFonts w:ascii="Calibri" w:eastAsia="Times New Roman" w:hAnsi="Calibri"/>
                <w:color w:val="000000"/>
                <w:sz w:val="22"/>
                <w:szCs w:val="22"/>
              </w:rPr>
              <w:t> </w:t>
            </w:r>
          </w:p>
        </w:tc>
      </w:tr>
      <w:tr w:rsidR="00610CA2" w:rsidRPr="00F66B89" w:rsidTr="00DB66CC">
        <w:trPr>
          <w:trHeight w:val="315"/>
          <w:jc w:val="center"/>
        </w:trPr>
        <w:tc>
          <w:tcPr>
            <w:tcW w:w="4637" w:type="dxa"/>
            <w:tcBorders>
              <w:top w:val="nil"/>
              <w:bottom w:val="nil"/>
              <w:right w:val="nil"/>
            </w:tcBorders>
            <w:shd w:val="clear" w:color="auto" w:fill="auto"/>
            <w:vAlign w:val="bottom"/>
            <w:hideMark/>
          </w:tcPr>
          <w:p w:rsidR="00610CA2" w:rsidRPr="00F66B89" w:rsidRDefault="00610CA2" w:rsidP="005C1AB0">
            <w:pPr>
              <w:rPr>
                <w:rFonts w:eastAsia="Times New Roman"/>
                <w:color w:val="000000"/>
                <w:sz w:val="20"/>
                <w:szCs w:val="20"/>
              </w:rPr>
            </w:pPr>
            <w:r w:rsidRPr="00F66B89">
              <w:rPr>
                <w:rFonts w:eastAsia="Times New Roman"/>
                <w:color w:val="000000"/>
                <w:sz w:val="20"/>
                <w:szCs w:val="20"/>
              </w:rPr>
              <w:t xml:space="preserve">R </w:t>
            </w:r>
            <w:r w:rsidRPr="00F66B89">
              <w:rPr>
                <w:rFonts w:eastAsia="Times New Roman"/>
                <w:i/>
                <w:iCs/>
                <w:color w:val="000000"/>
                <w:sz w:val="20"/>
                <w:szCs w:val="20"/>
              </w:rPr>
              <w:t>square</w:t>
            </w:r>
          </w:p>
        </w:tc>
        <w:tc>
          <w:tcPr>
            <w:tcW w:w="1923" w:type="dxa"/>
            <w:tcBorders>
              <w:top w:val="nil"/>
              <w:left w:val="single" w:sz="4" w:space="0" w:color="auto"/>
              <w:bottom w:val="nil"/>
              <w:right w:val="nil"/>
            </w:tcBorders>
            <w:shd w:val="clear" w:color="auto" w:fill="auto"/>
            <w:vAlign w:val="center"/>
            <w:hideMark/>
          </w:tcPr>
          <w:p w:rsidR="00610CA2" w:rsidRPr="00F66B89" w:rsidRDefault="00610CA2" w:rsidP="00D34AA1">
            <w:pPr>
              <w:jc w:val="center"/>
              <w:rPr>
                <w:rFonts w:eastAsia="Times New Roman"/>
                <w:color w:val="000000"/>
                <w:sz w:val="20"/>
                <w:szCs w:val="20"/>
              </w:rPr>
            </w:pPr>
            <w:r w:rsidRPr="00F66B89">
              <w:rPr>
                <w:rFonts w:eastAsia="Times New Roman"/>
                <w:color w:val="000000"/>
                <w:sz w:val="20"/>
                <w:szCs w:val="20"/>
              </w:rPr>
              <w:t>0.767</w:t>
            </w:r>
          </w:p>
        </w:tc>
        <w:tc>
          <w:tcPr>
            <w:tcW w:w="1430" w:type="dxa"/>
            <w:tcBorders>
              <w:top w:val="nil"/>
              <w:left w:val="nil"/>
              <w:bottom w:val="nil"/>
            </w:tcBorders>
            <w:shd w:val="clear" w:color="auto" w:fill="auto"/>
            <w:noWrap/>
            <w:vAlign w:val="bottom"/>
            <w:hideMark/>
          </w:tcPr>
          <w:p w:rsidR="00610CA2" w:rsidRPr="00F66B89" w:rsidRDefault="00610CA2" w:rsidP="005C1AB0">
            <w:pPr>
              <w:rPr>
                <w:rFonts w:ascii="Calibri" w:eastAsia="Times New Roman" w:hAnsi="Calibri"/>
                <w:color w:val="000000"/>
                <w:sz w:val="22"/>
                <w:szCs w:val="22"/>
              </w:rPr>
            </w:pPr>
            <w:r w:rsidRPr="00F66B89">
              <w:rPr>
                <w:rFonts w:ascii="Calibri" w:eastAsia="Times New Roman" w:hAnsi="Calibri"/>
                <w:color w:val="000000"/>
                <w:sz w:val="22"/>
                <w:szCs w:val="22"/>
              </w:rPr>
              <w:t> </w:t>
            </w:r>
          </w:p>
        </w:tc>
      </w:tr>
      <w:tr w:rsidR="00610CA2" w:rsidRPr="00F66B89" w:rsidTr="00DB66CC">
        <w:trPr>
          <w:trHeight w:val="315"/>
          <w:jc w:val="center"/>
        </w:trPr>
        <w:tc>
          <w:tcPr>
            <w:tcW w:w="4637" w:type="dxa"/>
            <w:tcBorders>
              <w:top w:val="nil"/>
              <w:bottom w:val="single" w:sz="8" w:space="0" w:color="auto"/>
              <w:right w:val="nil"/>
            </w:tcBorders>
            <w:shd w:val="clear" w:color="auto" w:fill="auto"/>
            <w:vAlign w:val="bottom"/>
            <w:hideMark/>
          </w:tcPr>
          <w:p w:rsidR="00610CA2" w:rsidRPr="00F66B89" w:rsidRDefault="00610CA2" w:rsidP="005C1AB0">
            <w:pPr>
              <w:rPr>
                <w:rFonts w:eastAsia="Times New Roman"/>
                <w:color w:val="000000"/>
                <w:sz w:val="20"/>
                <w:szCs w:val="20"/>
              </w:rPr>
            </w:pPr>
            <w:r w:rsidRPr="00F66B89">
              <w:rPr>
                <w:rFonts w:eastAsia="Times New Roman"/>
                <w:color w:val="000000"/>
                <w:sz w:val="20"/>
                <w:szCs w:val="20"/>
              </w:rPr>
              <w:t>Signifikansi</w:t>
            </w:r>
          </w:p>
        </w:tc>
        <w:tc>
          <w:tcPr>
            <w:tcW w:w="1923" w:type="dxa"/>
            <w:tcBorders>
              <w:top w:val="nil"/>
              <w:left w:val="single" w:sz="4" w:space="0" w:color="auto"/>
              <w:bottom w:val="single" w:sz="8" w:space="0" w:color="auto"/>
              <w:right w:val="nil"/>
            </w:tcBorders>
            <w:shd w:val="clear" w:color="auto" w:fill="auto"/>
            <w:vAlign w:val="center"/>
            <w:hideMark/>
          </w:tcPr>
          <w:p w:rsidR="00610CA2" w:rsidRPr="00F66B89" w:rsidRDefault="00610CA2" w:rsidP="00D34AA1">
            <w:pPr>
              <w:jc w:val="center"/>
              <w:rPr>
                <w:rFonts w:eastAsia="Times New Roman"/>
                <w:color w:val="000000"/>
                <w:sz w:val="20"/>
                <w:szCs w:val="20"/>
              </w:rPr>
            </w:pPr>
            <w:r w:rsidRPr="00F66B89">
              <w:rPr>
                <w:rFonts w:eastAsia="Times New Roman"/>
                <w:color w:val="000000"/>
                <w:sz w:val="20"/>
                <w:szCs w:val="20"/>
              </w:rPr>
              <w:t>0.49</w:t>
            </w:r>
          </w:p>
        </w:tc>
        <w:tc>
          <w:tcPr>
            <w:tcW w:w="1430" w:type="dxa"/>
            <w:tcBorders>
              <w:top w:val="nil"/>
              <w:left w:val="nil"/>
              <w:bottom w:val="single" w:sz="8" w:space="0" w:color="auto"/>
            </w:tcBorders>
            <w:shd w:val="clear" w:color="auto" w:fill="auto"/>
            <w:noWrap/>
            <w:vAlign w:val="bottom"/>
            <w:hideMark/>
          </w:tcPr>
          <w:p w:rsidR="00610CA2" w:rsidRPr="00F66B89" w:rsidRDefault="00610CA2" w:rsidP="005C1AB0">
            <w:pPr>
              <w:rPr>
                <w:rFonts w:ascii="Calibri" w:eastAsia="Times New Roman" w:hAnsi="Calibri"/>
                <w:color w:val="000000"/>
                <w:sz w:val="22"/>
                <w:szCs w:val="22"/>
              </w:rPr>
            </w:pPr>
            <w:r w:rsidRPr="00F66B89">
              <w:rPr>
                <w:rFonts w:ascii="Calibri" w:eastAsia="Times New Roman" w:hAnsi="Calibri"/>
                <w:color w:val="000000"/>
                <w:sz w:val="22"/>
                <w:szCs w:val="22"/>
              </w:rPr>
              <w:t> </w:t>
            </w:r>
          </w:p>
        </w:tc>
      </w:tr>
    </w:tbl>
    <w:p w:rsidR="00AF09B3" w:rsidRDefault="00610CA2" w:rsidP="00835B3A">
      <w:pPr>
        <w:autoSpaceDE w:val="0"/>
        <w:autoSpaceDN w:val="0"/>
        <w:adjustRightInd w:val="0"/>
        <w:spacing w:line="480" w:lineRule="auto"/>
        <w:jc w:val="both"/>
      </w:pPr>
      <w:r>
        <w:t>Sumber: Lampiran</w:t>
      </w:r>
    </w:p>
    <w:p w:rsidR="005721AC" w:rsidRDefault="004A565F" w:rsidP="006B6420">
      <w:pPr>
        <w:pStyle w:val="ListParagraph"/>
        <w:autoSpaceDE w:val="0"/>
        <w:autoSpaceDN w:val="0"/>
        <w:adjustRightInd w:val="0"/>
        <w:spacing w:line="480" w:lineRule="auto"/>
        <w:ind w:left="0" w:firstLine="567"/>
        <w:jc w:val="both"/>
        <w:rPr>
          <w:rFonts w:ascii="Times New Roman" w:hAnsi="Times New Roman"/>
          <w:sz w:val="24"/>
          <w:szCs w:val="24"/>
        </w:rPr>
      </w:pPr>
      <w:proofErr w:type="gramStart"/>
      <w:r w:rsidRPr="003A0B01">
        <w:rPr>
          <w:rFonts w:ascii="Times New Roman" w:hAnsi="Times New Roman"/>
          <w:sz w:val="24"/>
          <w:szCs w:val="24"/>
        </w:rPr>
        <w:t>Hasil uji analisis regresi linear berganda secara parsial menunjukkan bahwa berdasarkan uji t ditunjukkan bahwa</w:t>
      </w:r>
      <w:r w:rsidR="00AF09B3" w:rsidRPr="003A0B01">
        <w:rPr>
          <w:rFonts w:ascii="Times New Roman" w:hAnsi="Times New Roman"/>
          <w:sz w:val="24"/>
          <w:szCs w:val="24"/>
        </w:rPr>
        <w:t xml:space="preserve"> besar </w:t>
      </w:r>
      <w:r w:rsidR="00835B3A">
        <w:rPr>
          <w:rFonts w:ascii="Times New Roman" w:hAnsi="Times New Roman"/>
          <w:sz w:val="24"/>
          <w:szCs w:val="24"/>
        </w:rPr>
        <w:t>nilai koefisien regresi sebesar 1.205 dengan probabilitas signifikan sebesar 0.010 &lt;</w:t>
      </w:r>
      <w:r w:rsidR="00835B3A" w:rsidRPr="00CC32F8">
        <w:rPr>
          <w:rFonts w:ascii="Times New Roman" w:eastAsia="SymbolMT" w:hAnsi="Times New Roman"/>
          <w:sz w:val="24"/>
          <w:szCs w:val="24"/>
        </w:rPr>
        <w:t xml:space="preserve"> </w:t>
      </w:r>
      <w:r w:rsidR="00835B3A" w:rsidRPr="006F3FA2">
        <w:rPr>
          <w:rFonts w:ascii="Times New Roman" w:eastAsia="SymbolMT" w:hAnsi="Times New Roman"/>
          <w:sz w:val="24"/>
          <w:szCs w:val="24"/>
        </w:rPr>
        <w:t>α</w:t>
      </w:r>
      <w:r w:rsidR="00835B3A">
        <w:rPr>
          <w:rFonts w:ascii="Times New Roman" w:eastAsia="SymbolMT" w:hAnsi="Times New Roman"/>
          <w:sz w:val="24"/>
          <w:szCs w:val="24"/>
        </w:rPr>
        <w:t xml:space="preserve"> </w:t>
      </w:r>
      <w:r w:rsidR="00835B3A" w:rsidRPr="006F3FA2">
        <w:rPr>
          <w:rFonts w:ascii="Times New Roman" w:eastAsia="SymbolMT" w:hAnsi="Times New Roman"/>
          <w:sz w:val="24"/>
          <w:szCs w:val="24"/>
        </w:rPr>
        <w:t>tabel</w:t>
      </w:r>
      <w:r w:rsidR="00835B3A">
        <w:rPr>
          <w:rFonts w:ascii="SymbolMT" w:eastAsia="SymbolMT" w:cs="SymbolMT"/>
          <w:sz w:val="23"/>
          <w:szCs w:val="23"/>
        </w:rPr>
        <w:t xml:space="preserve"> </w:t>
      </w:r>
      <w:r w:rsidR="00835B3A">
        <w:rPr>
          <w:rFonts w:ascii="Times New Roman" w:hAnsi="Times New Roman"/>
          <w:sz w:val="24"/>
          <w:szCs w:val="24"/>
        </w:rPr>
        <w:t>0.05</w:t>
      </w:r>
      <w:r w:rsidR="0070439F" w:rsidRPr="003A0B01">
        <w:rPr>
          <w:rFonts w:ascii="Times New Roman" w:hAnsi="Times New Roman"/>
          <w:sz w:val="24"/>
          <w:szCs w:val="24"/>
        </w:rPr>
        <w:t>.</w:t>
      </w:r>
      <w:proofErr w:type="gramEnd"/>
      <w:r w:rsidR="0070439F" w:rsidRPr="003A0B01">
        <w:rPr>
          <w:rFonts w:ascii="Times New Roman" w:hAnsi="Times New Roman"/>
          <w:sz w:val="24"/>
          <w:szCs w:val="24"/>
        </w:rPr>
        <w:t xml:space="preserve"> </w:t>
      </w:r>
      <w:proofErr w:type="gramStart"/>
      <w:r w:rsidR="0070439F" w:rsidRPr="003A0B01">
        <w:rPr>
          <w:rFonts w:ascii="Times New Roman" w:hAnsi="Times New Roman"/>
          <w:sz w:val="24"/>
          <w:szCs w:val="24"/>
        </w:rPr>
        <w:t xml:space="preserve">Dapat disimpulkan bahwa </w:t>
      </w:r>
      <w:r w:rsidR="00AF09B3" w:rsidRPr="003A0B01">
        <w:rPr>
          <w:rFonts w:ascii="Times New Roman" w:hAnsi="Times New Roman"/>
          <w:sz w:val="24"/>
          <w:szCs w:val="24"/>
        </w:rPr>
        <w:t>perubahan harga obligasi berperingkat tinggi</w:t>
      </w:r>
      <w:r w:rsidR="00535557">
        <w:rPr>
          <w:rFonts w:ascii="Times New Roman" w:hAnsi="Times New Roman"/>
          <w:sz w:val="24"/>
          <w:szCs w:val="24"/>
        </w:rPr>
        <w:t xml:space="preserve"> dipengaruhi secara positif signifikan</w:t>
      </w:r>
      <w:r w:rsidR="00421082" w:rsidRPr="00421082">
        <w:rPr>
          <w:rFonts w:ascii="Times New Roman" w:hAnsi="Times New Roman"/>
          <w:sz w:val="24"/>
          <w:szCs w:val="24"/>
        </w:rPr>
        <w:t xml:space="preserve"> </w:t>
      </w:r>
      <w:r w:rsidR="00421082">
        <w:rPr>
          <w:rFonts w:ascii="Times New Roman" w:hAnsi="Times New Roman"/>
          <w:sz w:val="24"/>
          <w:szCs w:val="24"/>
        </w:rPr>
        <w:t xml:space="preserve">oleh </w:t>
      </w:r>
      <w:r w:rsidR="00421082" w:rsidRPr="003A0B01">
        <w:rPr>
          <w:rFonts w:ascii="Times New Roman" w:hAnsi="Times New Roman"/>
          <w:sz w:val="24"/>
          <w:szCs w:val="24"/>
        </w:rPr>
        <w:t>likuiditas</w:t>
      </w:r>
      <w:r w:rsidR="00AF09B3" w:rsidRPr="003A0B01">
        <w:rPr>
          <w:rFonts w:ascii="Times New Roman" w:hAnsi="Times New Roman"/>
          <w:sz w:val="24"/>
          <w:szCs w:val="24"/>
        </w:rPr>
        <w:t>.</w:t>
      </w:r>
      <w:proofErr w:type="gramEnd"/>
      <w:r w:rsidR="003A0B01" w:rsidRPr="003A0B01">
        <w:rPr>
          <w:rFonts w:ascii="Times New Roman" w:hAnsi="Times New Roman"/>
          <w:sz w:val="24"/>
          <w:szCs w:val="24"/>
        </w:rPr>
        <w:t xml:space="preserve"> </w:t>
      </w:r>
      <w:proofErr w:type="gramStart"/>
      <w:r w:rsidR="003A0B01" w:rsidRPr="003A0B01">
        <w:rPr>
          <w:rFonts w:ascii="Times New Roman" w:hAnsi="Times New Roman"/>
          <w:sz w:val="24"/>
          <w:szCs w:val="24"/>
        </w:rPr>
        <w:t>Variabel selanjutnya adalah</w:t>
      </w:r>
      <w:r w:rsidR="00EC026B">
        <w:rPr>
          <w:rFonts w:ascii="Times New Roman" w:hAnsi="Times New Roman"/>
          <w:sz w:val="24"/>
          <w:szCs w:val="24"/>
        </w:rPr>
        <w:t xml:space="preserve"> jangka</w:t>
      </w:r>
      <w:r w:rsidR="003A0B01" w:rsidRPr="003A0B01">
        <w:rPr>
          <w:rFonts w:ascii="Times New Roman" w:hAnsi="Times New Roman"/>
          <w:sz w:val="24"/>
          <w:szCs w:val="24"/>
        </w:rPr>
        <w:t xml:space="preserve"> waktu jatuh tempo, nilai </w:t>
      </w:r>
      <w:r w:rsidR="00835B3A">
        <w:rPr>
          <w:rFonts w:ascii="Times New Roman" w:hAnsi="Times New Roman"/>
          <w:sz w:val="24"/>
          <w:szCs w:val="24"/>
        </w:rPr>
        <w:t>koefisien regresi sebesar 0.191 dengan probabilitas signifikan sebesar 0.422 &gt;</w:t>
      </w:r>
      <w:r w:rsidR="00835B3A" w:rsidRPr="00CC32F8">
        <w:rPr>
          <w:rFonts w:ascii="Times New Roman" w:eastAsia="SymbolMT" w:hAnsi="Times New Roman"/>
          <w:sz w:val="24"/>
          <w:szCs w:val="24"/>
        </w:rPr>
        <w:t xml:space="preserve"> </w:t>
      </w:r>
      <w:r w:rsidR="00835B3A" w:rsidRPr="006F3FA2">
        <w:rPr>
          <w:rFonts w:ascii="Times New Roman" w:eastAsia="SymbolMT" w:hAnsi="Times New Roman"/>
          <w:sz w:val="24"/>
          <w:szCs w:val="24"/>
        </w:rPr>
        <w:t>α</w:t>
      </w:r>
      <w:r w:rsidR="00835B3A">
        <w:rPr>
          <w:rFonts w:ascii="Times New Roman" w:eastAsia="SymbolMT" w:hAnsi="Times New Roman"/>
          <w:sz w:val="24"/>
          <w:szCs w:val="24"/>
        </w:rPr>
        <w:t xml:space="preserve"> </w:t>
      </w:r>
      <w:r w:rsidR="00835B3A" w:rsidRPr="006F3FA2">
        <w:rPr>
          <w:rFonts w:ascii="Times New Roman" w:eastAsia="SymbolMT" w:hAnsi="Times New Roman"/>
          <w:sz w:val="24"/>
          <w:szCs w:val="24"/>
        </w:rPr>
        <w:t>tabel</w:t>
      </w:r>
      <w:r w:rsidR="00835B3A">
        <w:rPr>
          <w:rFonts w:ascii="SymbolMT" w:eastAsia="SymbolMT" w:cs="SymbolMT"/>
          <w:sz w:val="23"/>
          <w:szCs w:val="23"/>
        </w:rPr>
        <w:t xml:space="preserve"> </w:t>
      </w:r>
      <w:r w:rsidR="00835B3A">
        <w:rPr>
          <w:rFonts w:ascii="Times New Roman" w:hAnsi="Times New Roman"/>
          <w:sz w:val="24"/>
          <w:szCs w:val="24"/>
        </w:rPr>
        <w:t>0.05</w:t>
      </w:r>
      <w:r w:rsidR="003A0B01">
        <w:rPr>
          <w:rFonts w:ascii="Times New Roman" w:hAnsi="Times New Roman"/>
          <w:sz w:val="24"/>
          <w:szCs w:val="24"/>
        </w:rPr>
        <w:t>.</w:t>
      </w:r>
      <w:proofErr w:type="gramEnd"/>
      <w:r w:rsidR="003A0B01">
        <w:rPr>
          <w:rFonts w:ascii="Times New Roman" w:hAnsi="Times New Roman"/>
          <w:sz w:val="24"/>
          <w:szCs w:val="24"/>
        </w:rPr>
        <w:t xml:space="preserve"> </w:t>
      </w:r>
      <w:proofErr w:type="gramStart"/>
      <w:r w:rsidR="003A0B01" w:rsidRPr="003A0B01">
        <w:rPr>
          <w:rFonts w:ascii="Times New Roman" w:hAnsi="Times New Roman"/>
          <w:sz w:val="24"/>
          <w:szCs w:val="24"/>
        </w:rPr>
        <w:t xml:space="preserve">Dapat disimpulkan bahwa </w:t>
      </w:r>
      <w:r w:rsidR="00421082">
        <w:rPr>
          <w:rFonts w:ascii="Times New Roman" w:hAnsi="Times New Roman"/>
          <w:sz w:val="24"/>
          <w:szCs w:val="24"/>
        </w:rPr>
        <w:t xml:space="preserve">jangka </w:t>
      </w:r>
      <w:r w:rsidR="003A0B01" w:rsidRPr="003A0B01">
        <w:rPr>
          <w:rFonts w:ascii="Times New Roman" w:hAnsi="Times New Roman"/>
          <w:sz w:val="24"/>
          <w:szCs w:val="24"/>
        </w:rPr>
        <w:t xml:space="preserve">waktu jatuh tempo </w:t>
      </w:r>
      <w:r w:rsidR="00835B3A">
        <w:rPr>
          <w:rFonts w:ascii="Times New Roman" w:hAnsi="Times New Roman"/>
          <w:sz w:val="24"/>
          <w:szCs w:val="24"/>
        </w:rPr>
        <w:t xml:space="preserve">berpengaruh positif tidak signifikan </w:t>
      </w:r>
      <w:r w:rsidR="003A0B01" w:rsidRPr="003A0B01">
        <w:rPr>
          <w:rFonts w:ascii="Times New Roman" w:hAnsi="Times New Roman"/>
          <w:sz w:val="24"/>
          <w:szCs w:val="24"/>
        </w:rPr>
        <w:t>terhadap perubahan harga obligasi berperingkat tinggi.</w:t>
      </w:r>
      <w:proofErr w:type="gramEnd"/>
      <w:r w:rsidR="00835B3A">
        <w:rPr>
          <w:rFonts w:ascii="Times New Roman" w:hAnsi="Times New Roman"/>
          <w:sz w:val="24"/>
          <w:szCs w:val="24"/>
        </w:rPr>
        <w:t xml:space="preserve"> </w:t>
      </w:r>
      <w:proofErr w:type="gramStart"/>
      <w:r w:rsidR="00835B3A">
        <w:rPr>
          <w:rFonts w:ascii="Times New Roman" w:hAnsi="Times New Roman"/>
          <w:sz w:val="24"/>
          <w:szCs w:val="24"/>
        </w:rPr>
        <w:t>V</w:t>
      </w:r>
      <w:r w:rsidR="00107D9F" w:rsidRPr="00107D9F">
        <w:rPr>
          <w:rFonts w:ascii="Times New Roman" w:hAnsi="Times New Roman"/>
          <w:sz w:val="24"/>
          <w:szCs w:val="24"/>
        </w:rPr>
        <w:t xml:space="preserve">ariabel terakhir adalah kupon, besar </w:t>
      </w:r>
      <w:r w:rsidR="00CC7D14">
        <w:rPr>
          <w:rFonts w:ascii="Times New Roman" w:hAnsi="Times New Roman"/>
          <w:sz w:val="24"/>
          <w:szCs w:val="24"/>
        </w:rPr>
        <w:t>nilai koefisien regresi sebesar 0.947 dengan probabilitas signifikan sebesar 0.026 &lt;</w:t>
      </w:r>
      <w:r w:rsidR="00CC7D14" w:rsidRPr="00CC32F8">
        <w:rPr>
          <w:rFonts w:ascii="Times New Roman" w:eastAsia="SymbolMT" w:hAnsi="Times New Roman"/>
          <w:sz w:val="24"/>
          <w:szCs w:val="24"/>
        </w:rPr>
        <w:t xml:space="preserve"> </w:t>
      </w:r>
      <w:r w:rsidR="00CC7D14" w:rsidRPr="006F3FA2">
        <w:rPr>
          <w:rFonts w:ascii="Times New Roman" w:eastAsia="SymbolMT" w:hAnsi="Times New Roman"/>
          <w:sz w:val="24"/>
          <w:szCs w:val="24"/>
        </w:rPr>
        <w:t>α</w:t>
      </w:r>
      <w:r w:rsidR="00CC7D14">
        <w:rPr>
          <w:rFonts w:ascii="Times New Roman" w:eastAsia="SymbolMT" w:hAnsi="Times New Roman"/>
          <w:sz w:val="24"/>
          <w:szCs w:val="24"/>
        </w:rPr>
        <w:t xml:space="preserve"> </w:t>
      </w:r>
      <w:r w:rsidR="00CC7D14" w:rsidRPr="006F3FA2">
        <w:rPr>
          <w:rFonts w:ascii="Times New Roman" w:eastAsia="SymbolMT" w:hAnsi="Times New Roman"/>
          <w:sz w:val="24"/>
          <w:szCs w:val="24"/>
        </w:rPr>
        <w:t>tabel</w:t>
      </w:r>
      <w:r w:rsidR="00CC7D14">
        <w:rPr>
          <w:rFonts w:ascii="SymbolMT" w:eastAsia="SymbolMT" w:cs="SymbolMT"/>
          <w:sz w:val="23"/>
          <w:szCs w:val="23"/>
        </w:rPr>
        <w:t xml:space="preserve"> </w:t>
      </w:r>
      <w:r w:rsidR="00CC7D14">
        <w:rPr>
          <w:rFonts w:ascii="Times New Roman" w:hAnsi="Times New Roman"/>
          <w:sz w:val="24"/>
          <w:szCs w:val="24"/>
        </w:rPr>
        <w:t>0.05</w:t>
      </w:r>
      <w:r w:rsidR="00107D9F">
        <w:rPr>
          <w:rFonts w:ascii="Times New Roman" w:hAnsi="Times New Roman"/>
          <w:sz w:val="24"/>
          <w:szCs w:val="24"/>
        </w:rPr>
        <w:t>.</w:t>
      </w:r>
      <w:proofErr w:type="gramEnd"/>
      <w:r w:rsidR="00107D9F">
        <w:rPr>
          <w:rFonts w:ascii="Times New Roman" w:hAnsi="Times New Roman"/>
          <w:sz w:val="24"/>
          <w:szCs w:val="24"/>
        </w:rPr>
        <w:t xml:space="preserve"> </w:t>
      </w:r>
      <w:proofErr w:type="gramStart"/>
      <w:r w:rsidR="00107D9F">
        <w:rPr>
          <w:rFonts w:ascii="Times New Roman" w:hAnsi="Times New Roman"/>
          <w:sz w:val="24"/>
          <w:szCs w:val="24"/>
        </w:rPr>
        <w:t xml:space="preserve">Dapat disimpulkan bahwa </w:t>
      </w:r>
      <w:r w:rsidR="00397418">
        <w:rPr>
          <w:rFonts w:ascii="Times New Roman" w:hAnsi="Times New Roman"/>
          <w:sz w:val="24"/>
          <w:szCs w:val="24"/>
        </w:rPr>
        <w:lastRenderedPageBreak/>
        <w:t xml:space="preserve">kupon berpengaruh positif </w:t>
      </w:r>
      <w:r w:rsidR="00107D9F">
        <w:rPr>
          <w:rFonts w:ascii="Times New Roman" w:hAnsi="Times New Roman"/>
          <w:sz w:val="24"/>
          <w:szCs w:val="24"/>
        </w:rPr>
        <w:t>signifikan terhadap perubahan harga obligasi berperingkat tinggi.</w:t>
      </w:r>
      <w:proofErr w:type="gramEnd"/>
    </w:p>
    <w:p w:rsidR="005721AC" w:rsidRDefault="005721AC" w:rsidP="005721AC">
      <w:pPr>
        <w:pStyle w:val="ListParagraph"/>
        <w:autoSpaceDE w:val="0"/>
        <w:autoSpaceDN w:val="0"/>
        <w:adjustRightInd w:val="0"/>
        <w:spacing w:line="480" w:lineRule="auto"/>
        <w:ind w:left="0"/>
        <w:jc w:val="both"/>
        <w:rPr>
          <w:rFonts w:ascii="Times New Roman" w:hAnsi="Times New Roman"/>
          <w:b/>
          <w:sz w:val="24"/>
          <w:szCs w:val="24"/>
        </w:rPr>
      </w:pPr>
      <w:r w:rsidRPr="005721AC">
        <w:rPr>
          <w:rFonts w:ascii="Times New Roman" w:hAnsi="Times New Roman"/>
          <w:b/>
          <w:sz w:val="24"/>
          <w:szCs w:val="24"/>
        </w:rPr>
        <w:t>Pembahasan Hasil Penelitian</w:t>
      </w:r>
      <w:r w:rsidR="00545A01">
        <w:rPr>
          <w:rFonts w:ascii="Times New Roman" w:hAnsi="Times New Roman"/>
          <w:b/>
          <w:sz w:val="24"/>
          <w:szCs w:val="24"/>
        </w:rPr>
        <w:t xml:space="preserve"> Hipotesis 1</w:t>
      </w:r>
    </w:p>
    <w:p w:rsidR="0038455E" w:rsidRDefault="007935D6" w:rsidP="00C36C11">
      <w:pPr>
        <w:pStyle w:val="ListParagraph"/>
        <w:autoSpaceDE w:val="0"/>
        <w:autoSpaceDN w:val="0"/>
        <w:adjustRightInd w:val="0"/>
        <w:spacing w:after="0" w:line="480" w:lineRule="auto"/>
        <w:ind w:left="0" w:firstLine="567"/>
        <w:contextualSpacing w:val="0"/>
        <w:jc w:val="both"/>
        <w:rPr>
          <w:rFonts w:ascii="Times New Roman" w:hAnsi="Times New Roman"/>
          <w:bCs/>
          <w:iCs/>
          <w:sz w:val="24"/>
          <w:szCs w:val="24"/>
        </w:rPr>
      </w:pPr>
      <w:proofErr w:type="gramStart"/>
      <w:r>
        <w:rPr>
          <w:rFonts w:ascii="Times New Roman" w:hAnsi="Times New Roman"/>
          <w:bCs/>
          <w:iCs/>
          <w:sz w:val="24"/>
          <w:szCs w:val="24"/>
        </w:rPr>
        <w:t xml:space="preserve">Berdasarkan hasil analisis uji regresi linear berganda, </w:t>
      </w:r>
      <w:r w:rsidR="003A458C">
        <w:rPr>
          <w:rFonts w:ascii="Times New Roman" w:hAnsi="Times New Roman"/>
          <w:sz w:val="24"/>
          <w:szCs w:val="24"/>
        </w:rPr>
        <w:t>likuiditas berpengaruh negatif namun tidak signifikan terhadap perubahan harga obligasi korporasi berperingkat rendah</w:t>
      </w:r>
      <w:r>
        <w:rPr>
          <w:rFonts w:ascii="Times New Roman" w:hAnsi="Times New Roman"/>
          <w:bCs/>
          <w:iCs/>
          <w:sz w:val="24"/>
          <w:szCs w:val="24"/>
        </w:rPr>
        <w:t>, karena investor lebih mempertimbangkan risiko dari obligasi berperingkat rendah.</w:t>
      </w:r>
      <w:proofErr w:type="gramEnd"/>
      <w:r>
        <w:rPr>
          <w:rFonts w:ascii="Times New Roman" w:hAnsi="Times New Roman"/>
          <w:bCs/>
          <w:iCs/>
          <w:sz w:val="24"/>
          <w:szCs w:val="24"/>
        </w:rPr>
        <w:t xml:space="preserve"> </w:t>
      </w:r>
      <w:proofErr w:type="gramStart"/>
      <w:r w:rsidR="006B571B">
        <w:rPr>
          <w:rFonts w:ascii="Times New Roman" w:hAnsi="Times New Roman"/>
          <w:bCs/>
          <w:iCs/>
          <w:sz w:val="24"/>
          <w:szCs w:val="24"/>
        </w:rPr>
        <w:t>Hasil penelitian didukung</w:t>
      </w:r>
      <w:r w:rsidR="001C2219">
        <w:rPr>
          <w:rFonts w:ascii="Times New Roman" w:hAnsi="Times New Roman"/>
          <w:bCs/>
          <w:iCs/>
          <w:sz w:val="24"/>
          <w:szCs w:val="24"/>
        </w:rPr>
        <w:t xml:space="preserve"> dengan penelitian yang dilakukan oleh Kempf (2000), Nurfauziah dan Setyarini (2004), Ericsson </w:t>
      </w:r>
      <w:r w:rsidR="00102B30">
        <w:rPr>
          <w:rFonts w:ascii="Times New Roman" w:hAnsi="Times New Roman"/>
          <w:bCs/>
          <w:iCs/>
          <w:sz w:val="24"/>
          <w:szCs w:val="24"/>
        </w:rPr>
        <w:t xml:space="preserve">dan Renault </w:t>
      </w:r>
      <w:r w:rsidR="001C2219">
        <w:rPr>
          <w:rFonts w:ascii="Times New Roman" w:hAnsi="Times New Roman"/>
          <w:bCs/>
          <w:iCs/>
          <w:sz w:val="24"/>
          <w:szCs w:val="24"/>
        </w:rPr>
        <w:t xml:space="preserve">(2006) dan He </w:t>
      </w:r>
      <w:r w:rsidR="001C2219" w:rsidRPr="001C2219">
        <w:rPr>
          <w:rFonts w:ascii="Times New Roman" w:hAnsi="Times New Roman"/>
          <w:bCs/>
          <w:i/>
          <w:iCs/>
          <w:sz w:val="24"/>
          <w:szCs w:val="24"/>
        </w:rPr>
        <w:t>et al</w:t>
      </w:r>
      <w:r w:rsidR="001C2219">
        <w:rPr>
          <w:rFonts w:ascii="Times New Roman" w:hAnsi="Times New Roman"/>
          <w:bCs/>
          <w:iCs/>
          <w:sz w:val="24"/>
          <w:szCs w:val="24"/>
        </w:rPr>
        <w:t>. (2005).</w:t>
      </w:r>
      <w:proofErr w:type="gramEnd"/>
      <w:r w:rsidR="001C2219">
        <w:rPr>
          <w:rFonts w:ascii="Times New Roman" w:hAnsi="Times New Roman"/>
          <w:bCs/>
          <w:iCs/>
          <w:sz w:val="24"/>
          <w:szCs w:val="24"/>
        </w:rPr>
        <w:t xml:space="preserve"> </w:t>
      </w:r>
      <w:proofErr w:type="gramStart"/>
      <w:r>
        <w:rPr>
          <w:rFonts w:ascii="Times New Roman" w:hAnsi="Times New Roman"/>
          <w:bCs/>
          <w:iCs/>
          <w:sz w:val="24"/>
          <w:szCs w:val="24"/>
        </w:rPr>
        <w:t>Namun, lik</w:t>
      </w:r>
      <w:r w:rsidR="00A60616">
        <w:rPr>
          <w:rFonts w:ascii="Times New Roman" w:hAnsi="Times New Roman"/>
          <w:bCs/>
          <w:iCs/>
          <w:sz w:val="24"/>
          <w:szCs w:val="24"/>
        </w:rPr>
        <w:t xml:space="preserve">uiditas berpengaruh positif </w:t>
      </w:r>
      <w:r>
        <w:rPr>
          <w:rFonts w:ascii="Times New Roman" w:hAnsi="Times New Roman"/>
          <w:bCs/>
          <w:iCs/>
          <w:sz w:val="24"/>
          <w:szCs w:val="24"/>
        </w:rPr>
        <w:t>signifikan terhadap perubahan harga obligasi korporasi berperingkat tinggi</w:t>
      </w:r>
      <w:r w:rsidR="00A60616">
        <w:rPr>
          <w:rFonts w:ascii="Times New Roman" w:hAnsi="Times New Roman"/>
          <w:bCs/>
          <w:iCs/>
          <w:sz w:val="24"/>
          <w:szCs w:val="24"/>
        </w:rPr>
        <w:t>.</w:t>
      </w:r>
      <w:proofErr w:type="gramEnd"/>
      <w:r w:rsidR="00A60616">
        <w:rPr>
          <w:rFonts w:ascii="Times New Roman" w:hAnsi="Times New Roman"/>
          <w:bCs/>
          <w:iCs/>
          <w:sz w:val="24"/>
          <w:szCs w:val="24"/>
        </w:rPr>
        <w:t xml:space="preserve"> </w:t>
      </w:r>
      <w:r w:rsidR="0071381C">
        <w:rPr>
          <w:rFonts w:ascii="Times New Roman" w:hAnsi="Times New Roman"/>
          <w:sz w:val="24"/>
          <w:szCs w:val="24"/>
        </w:rPr>
        <w:t>Hasil penelitian pada obligasi berperingkat tinggi ini sesuai dengan hipotesis yang diaju</w:t>
      </w:r>
      <w:r w:rsidR="00B3315C">
        <w:rPr>
          <w:rFonts w:ascii="Times New Roman" w:hAnsi="Times New Roman"/>
          <w:sz w:val="24"/>
          <w:szCs w:val="24"/>
        </w:rPr>
        <w:t xml:space="preserve">kan dan juga sesuai dengan penelitian yang dilakukan oleh Bao </w:t>
      </w:r>
      <w:r w:rsidR="00B3315C" w:rsidRPr="002A0DFC">
        <w:rPr>
          <w:rFonts w:ascii="Times New Roman" w:hAnsi="Times New Roman"/>
          <w:i/>
          <w:sz w:val="24"/>
          <w:szCs w:val="24"/>
        </w:rPr>
        <w:t>et al</w:t>
      </w:r>
      <w:r w:rsidR="00B3315C">
        <w:rPr>
          <w:rFonts w:ascii="Times New Roman" w:hAnsi="Times New Roman"/>
          <w:sz w:val="24"/>
          <w:szCs w:val="24"/>
        </w:rPr>
        <w:t>. (2009)</w:t>
      </w:r>
      <w:r w:rsidR="00CE4003">
        <w:rPr>
          <w:rFonts w:ascii="Times New Roman" w:hAnsi="Times New Roman"/>
          <w:sz w:val="24"/>
          <w:szCs w:val="24"/>
        </w:rPr>
        <w:t xml:space="preserve">, Favero </w:t>
      </w:r>
      <w:r w:rsidR="00CE4003" w:rsidRPr="00CE4003">
        <w:rPr>
          <w:rFonts w:ascii="Times New Roman" w:hAnsi="Times New Roman"/>
          <w:i/>
          <w:sz w:val="24"/>
          <w:szCs w:val="24"/>
        </w:rPr>
        <w:t>et al</w:t>
      </w:r>
      <w:r w:rsidR="00CE4003">
        <w:rPr>
          <w:rFonts w:ascii="Times New Roman" w:hAnsi="Times New Roman"/>
          <w:sz w:val="24"/>
          <w:szCs w:val="24"/>
        </w:rPr>
        <w:t xml:space="preserve">. (2008) </w:t>
      </w:r>
      <w:r w:rsidR="00B3315C">
        <w:rPr>
          <w:rFonts w:ascii="Times New Roman" w:hAnsi="Times New Roman"/>
          <w:sz w:val="24"/>
          <w:szCs w:val="24"/>
        </w:rPr>
        <w:t xml:space="preserve">dan Chen </w:t>
      </w:r>
      <w:r w:rsidR="00B3315C" w:rsidRPr="002A0DFC">
        <w:rPr>
          <w:rFonts w:ascii="Times New Roman" w:hAnsi="Times New Roman"/>
          <w:i/>
          <w:sz w:val="24"/>
          <w:szCs w:val="24"/>
        </w:rPr>
        <w:t>et al</w:t>
      </w:r>
      <w:r w:rsidR="00B3315C">
        <w:rPr>
          <w:rFonts w:ascii="Times New Roman" w:hAnsi="Times New Roman"/>
          <w:sz w:val="24"/>
          <w:szCs w:val="24"/>
        </w:rPr>
        <w:t>. (2007)</w:t>
      </w:r>
      <w:r w:rsidR="0071381C">
        <w:rPr>
          <w:rFonts w:ascii="Times New Roman" w:hAnsi="Times New Roman"/>
          <w:sz w:val="24"/>
          <w:szCs w:val="24"/>
        </w:rPr>
        <w:t xml:space="preserve">. </w:t>
      </w:r>
      <w:r>
        <w:rPr>
          <w:rFonts w:ascii="Times New Roman" w:hAnsi="Times New Roman"/>
          <w:bCs/>
          <w:iCs/>
          <w:sz w:val="24"/>
          <w:szCs w:val="24"/>
        </w:rPr>
        <w:t xml:space="preserve">Dengan tingkat kredibilitas yang tinggi yang dimiliki obligasi peringkat tinggi, maka investor tidak ragu untuk turut berinvestasi, investor perlu dengan teliti mencari obligasi peringkat tinggi mana yang memberi kemudahan lebih dan manfaat baginya. Semakin tinggi likuiditas maka semakin mudah obligasi diperjualbelikan, oleh karena itu investor </w:t>
      </w:r>
      <w:proofErr w:type="gramStart"/>
      <w:r>
        <w:rPr>
          <w:rFonts w:ascii="Times New Roman" w:hAnsi="Times New Roman"/>
          <w:bCs/>
          <w:iCs/>
          <w:sz w:val="24"/>
          <w:szCs w:val="24"/>
        </w:rPr>
        <w:t>akan</w:t>
      </w:r>
      <w:proofErr w:type="gramEnd"/>
      <w:r>
        <w:rPr>
          <w:rFonts w:ascii="Times New Roman" w:hAnsi="Times New Roman"/>
          <w:bCs/>
          <w:iCs/>
          <w:sz w:val="24"/>
          <w:szCs w:val="24"/>
        </w:rPr>
        <w:t xml:space="preserve"> merasakan manfaat lebih dari obligasi peringkat tinggi yang memiliki likuiditas tinggi. Banyaknya investor yang memilih obligasi yang likuid maka menyebabkan terjadinya penawaran dan permintaan sehingga semakin tinggi likuiditas obligasi maka perubahan harga obligasi</w:t>
      </w:r>
      <w:r w:rsidR="007B0DAE">
        <w:rPr>
          <w:rFonts w:ascii="Times New Roman" w:hAnsi="Times New Roman"/>
          <w:bCs/>
          <w:iCs/>
          <w:sz w:val="24"/>
          <w:szCs w:val="24"/>
        </w:rPr>
        <w:t xml:space="preserve"> berperingkat tinggi</w:t>
      </w:r>
      <w:r>
        <w:rPr>
          <w:rFonts w:ascii="Times New Roman" w:hAnsi="Times New Roman"/>
          <w:bCs/>
          <w:iCs/>
          <w:sz w:val="24"/>
          <w:szCs w:val="24"/>
        </w:rPr>
        <w:t xml:space="preserve"> </w:t>
      </w:r>
      <w:proofErr w:type="gramStart"/>
      <w:r>
        <w:rPr>
          <w:rFonts w:ascii="Times New Roman" w:hAnsi="Times New Roman"/>
          <w:bCs/>
          <w:iCs/>
          <w:sz w:val="24"/>
          <w:szCs w:val="24"/>
        </w:rPr>
        <w:t>akan</w:t>
      </w:r>
      <w:proofErr w:type="gramEnd"/>
      <w:r>
        <w:rPr>
          <w:rFonts w:ascii="Times New Roman" w:hAnsi="Times New Roman"/>
          <w:bCs/>
          <w:iCs/>
          <w:sz w:val="24"/>
          <w:szCs w:val="24"/>
        </w:rPr>
        <w:t xml:space="preserve"> semakin meningkat.</w:t>
      </w:r>
    </w:p>
    <w:p w:rsidR="001F76B0" w:rsidRDefault="001F76B0" w:rsidP="00C36C11">
      <w:pPr>
        <w:pStyle w:val="ListParagraph"/>
        <w:autoSpaceDE w:val="0"/>
        <w:autoSpaceDN w:val="0"/>
        <w:adjustRightInd w:val="0"/>
        <w:spacing w:after="0" w:line="480" w:lineRule="auto"/>
        <w:ind w:left="0" w:firstLine="567"/>
        <w:contextualSpacing w:val="0"/>
        <w:jc w:val="both"/>
        <w:rPr>
          <w:rFonts w:ascii="Times New Roman" w:hAnsi="Times New Roman"/>
          <w:bCs/>
          <w:iCs/>
          <w:sz w:val="24"/>
          <w:szCs w:val="24"/>
        </w:rPr>
      </w:pPr>
    </w:p>
    <w:p w:rsidR="001F76B0" w:rsidRPr="00C36C11" w:rsidRDefault="001F76B0" w:rsidP="00C36C11">
      <w:pPr>
        <w:pStyle w:val="ListParagraph"/>
        <w:autoSpaceDE w:val="0"/>
        <w:autoSpaceDN w:val="0"/>
        <w:adjustRightInd w:val="0"/>
        <w:spacing w:after="0" w:line="480" w:lineRule="auto"/>
        <w:ind w:left="0" w:firstLine="567"/>
        <w:contextualSpacing w:val="0"/>
        <w:jc w:val="both"/>
        <w:rPr>
          <w:rFonts w:ascii="Times New Roman" w:hAnsi="Times New Roman"/>
          <w:bCs/>
          <w:iCs/>
          <w:sz w:val="24"/>
          <w:szCs w:val="24"/>
        </w:rPr>
      </w:pPr>
    </w:p>
    <w:p w:rsidR="00545A01" w:rsidRDefault="00545A01" w:rsidP="005721AC">
      <w:pPr>
        <w:pStyle w:val="ListParagraph"/>
        <w:autoSpaceDE w:val="0"/>
        <w:autoSpaceDN w:val="0"/>
        <w:adjustRightInd w:val="0"/>
        <w:spacing w:line="480" w:lineRule="auto"/>
        <w:ind w:left="0"/>
        <w:jc w:val="both"/>
        <w:rPr>
          <w:rFonts w:ascii="Times New Roman" w:hAnsi="Times New Roman"/>
          <w:b/>
          <w:sz w:val="24"/>
          <w:szCs w:val="24"/>
        </w:rPr>
      </w:pPr>
      <w:r>
        <w:rPr>
          <w:rFonts w:ascii="Times New Roman" w:hAnsi="Times New Roman"/>
          <w:b/>
          <w:sz w:val="24"/>
          <w:szCs w:val="24"/>
        </w:rPr>
        <w:lastRenderedPageBreak/>
        <w:t>Pembahasan Hasil Penelitian Hipotesis 2</w:t>
      </w:r>
    </w:p>
    <w:p w:rsidR="003474E1" w:rsidRPr="00682C54" w:rsidRDefault="001D2B21" w:rsidP="00682C54">
      <w:pPr>
        <w:pStyle w:val="ListParagraph"/>
        <w:autoSpaceDE w:val="0"/>
        <w:autoSpaceDN w:val="0"/>
        <w:adjustRightInd w:val="0"/>
        <w:spacing w:after="0" w:line="480" w:lineRule="auto"/>
        <w:ind w:left="0" w:firstLine="540"/>
        <w:contextualSpacing w:val="0"/>
        <w:jc w:val="both"/>
        <w:rPr>
          <w:rFonts w:ascii="Times New Roman" w:hAnsi="Times New Roman"/>
          <w:bCs/>
          <w:iCs/>
          <w:sz w:val="24"/>
          <w:szCs w:val="24"/>
        </w:rPr>
      </w:pPr>
      <w:proofErr w:type="gramStart"/>
      <w:r>
        <w:rPr>
          <w:rFonts w:ascii="Times New Roman" w:hAnsi="Times New Roman"/>
          <w:bCs/>
          <w:iCs/>
          <w:sz w:val="24"/>
          <w:szCs w:val="24"/>
        </w:rPr>
        <w:t>Berdasarkan hasil analisis uji regresi linear berganda, w</w:t>
      </w:r>
      <w:r w:rsidR="003474E1">
        <w:rPr>
          <w:rFonts w:ascii="Times New Roman" w:hAnsi="Times New Roman"/>
          <w:bCs/>
          <w:iCs/>
          <w:sz w:val="24"/>
          <w:szCs w:val="24"/>
        </w:rPr>
        <w:t>aktu jatuh tempo berpengaruh negatif dan signifikan terhadap perubahan harga obligasi korporasi berperingkat rendah pada tingkat signifikansi sebesar 5 persen.</w:t>
      </w:r>
      <w:proofErr w:type="gramEnd"/>
      <w:r w:rsidR="003474E1">
        <w:rPr>
          <w:rFonts w:ascii="Times New Roman" w:hAnsi="Times New Roman"/>
          <w:bCs/>
          <w:iCs/>
          <w:sz w:val="24"/>
          <w:szCs w:val="24"/>
        </w:rPr>
        <w:t xml:space="preserve"> Semakin pendek waktu jatuh tempo yang dimiliki oleh obligasi berperingkat rendah maka perubahan harga </w:t>
      </w:r>
      <w:proofErr w:type="gramStart"/>
      <w:r w:rsidR="003474E1">
        <w:rPr>
          <w:rFonts w:ascii="Times New Roman" w:hAnsi="Times New Roman"/>
          <w:bCs/>
          <w:iCs/>
          <w:sz w:val="24"/>
          <w:szCs w:val="24"/>
        </w:rPr>
        <w:t>akan</w:t>
      </w:r>
      <w:proofErr w:type="gramEnd"/>
      <w:r w:rsidR="003474E1">
        <w:rPr>
          <w:rFonts w:ascii="Times New Roman" w:hAnsi="Times New Roman"/>
          <w:bCs/>
          <w:iCs/>
          <w:sz w:val="24"/>
          <w:szCs w:val="24"/>
        </w:rPr>
        <w:t xml:space="preserve"> semakin meningkat, hal ini disebabkan karena investor tidak berani mengambil risiko yang terlalu besar dengan berinvestasi pada obligasi peringkat rendah berjangka waktu jatuh tempo yang panjang</w:t>
      </w:r>
      <w:r w:rsidR="00CE4003">
        <w:rPr>
          <w:rFonts w:ascii="Times New Roman" w:hAnsi="Times New Roman"/>
          <w:bCs/>
          <w:iCs/>
          <w:sz w:val="24"/>
          <w:szCs w:val="24"/>
        </w:rPr>
        <w:t xml:space="preserve"> </w:t>
      </w:r>
      <w:r w:rsidR="007C54BB">
        <w:rPr>
          <w:rFonts w:ascii="Times New Roman" w:hAnsi="Times New Roman"/>
          <w:bCs/>
          <w:iCs/>
          <w:sz w:val="24"/>
          <w:szCs w:val="24"/>
        </w:rPr>
        <w:t xml:space="preserve">(Kusuma, </w:t>
      </w:r>
      <w:r w:rsidR="000A5D46">
        <w:rPr>
          <w:rFonts w:ascii="Times New Roman" w:hAnsi="Times New Roman"/>
          <w:bCs/>
          <w:iCs/>
          <w:sz w:val="24"/>
          <w:szCs w:val="24"/>
        </w:rPr>
        <w:t>2005)</w:t>
      </w:r>
      <w:r w:rsidR="003474E1">
        <w:rPr>
          <w:rFonts w:ascii="Times New Roman" w:hAnsi="Times New Roman"/>
          <w:bCs/>
          <w:iCs/>
          <w:sz w:val="24"/>
          <w:szCs w:val="24"/>
        </w:rPr>
        <w:t xml:space="preserve">. Kredibilitas perusahaan emiten yang dapat menyebabkan terjadinya risiko gagal bayar menjadi salah satu alasan mengapa investor cenderung lebih memilih berinvestasi pada obligasi berperingkat rendah yang memiliki waktu jatuh tempo pendek. </w:t>
      </w:r>
      <w:proofErr w:type="gramStart"/>
      <w:r w:rsidR="001F76B0">
        <w:rPr>
          <w:rFonts w:ascii="Times New Roman" w:hAnsi="Times New Roman"/>
          <w:bCs/>
          <w:iCs/>
          <w:sz w:val="24"/>
          <w:szCs w:val="24"/>
        </w:rPr>
        <w:t>Teori dan h</w:t>
      </w:r>
      <w:r w:rsidR="00682C54">
        <w:rPr>
          <w:rFonts w:ascii="Times New Roman" w:hAnsi="Times New Roman"/>
          <w:bCs/>
          <w:iCs/>
          <w:sz w:val="24"/>
          <w:szCs w:val="24"/>
        </w:rPr>
        <w:t xml:space="preserve">ipotesis yang diajukan </w:t>
      </w:r>
      <w:r w:rsidR="001F76B0">
        <w:rPr>
          <w:rFonts w:ascii="Times New Roman" w:hAnsi="Times New Roman"/>
          <w:bCs/>
          <w:iCs/>
          <w:sz w:val="24"/>
          <w:szCs w:val="24"/>
        </w:rPr>
        <w:t>sudah sesuai dengan hasil penelitian</w:t>
      </w:r>
      <w:r w:rsidR="00682C54">
        <w:rPr>
          <w:rFonts w:ascii="Times New Roman" w:hAnsi="Times New Roman"/>
          <w:bCs/>
          <w:iCs/>
          <w:sz w:val="24"/>
          <w:szCs w:val="24"/>
        </w:rPr>
        <w:t>.</w:t>
      </w:r>
      <w:proofErr w:type="gramEnd"/>
      <w:r w:rsidR="00682C54">
        <w:rPr>
          <w:rFonts w:ascii="Times New Roman" w:hAnsi="Times New Roman"/>
          <w:bCs/>
          <w:iCs/>
          <w:sz w:val="24"/>
          <w:szCs w:val="24"/>
        </w:rPr>
        <w:t xml:space="preserve"> </w:t>
      </w:r>
      <w:proofErr w:type="gramStart"/>
      <w:r w:rsidR="003474E1">
        <w:rPr>
          <w:rFonts w:ascii="Times New Roman" w:hAnsi="Times New Roman"/>
          <w:bCs/>
          <w:iCs/>
          <w:sz w:val="24"/>
          <w:szCs w:val="24"/>
        </w:rPr>
        <w:t>Berdasarkan hal ter</w:t>
      </w:r>
      <w:r w:rsidR="001F76B0">
        <w:rPr>
          <w:rFonts w:ascii="Times New Roman" w:hAnsi="Times New Roman"/>
          <w:bCs/>
          <w:iCs/>
          <w:sz w:val="24"/>
          <w:szCs w:val="24"/>
        </w:rPr>
        <w:t xml:space="preserve">sebutlah dapat disimpulkan </w:t>
      </w:r>
      <w:r w:rsidR="003474E1">
        <w:rPr>
          <w:rFonts w:ascii="Times New Roman" w:hAnsi="Times New Roman"/>
          <w:bCs/>
          <w:iCs/>
          <w:sz w:val="24"/>
          <w:szCs w:val="24"/>
        </w:rPr>
        <w:t>perubahan harga obligasi berperingkat rendah</w:t>
      </w:r>
      <w:r w:rsidR="001F76B0">
        <w:rPr>
          <w:rFonts w:ascii="Times New Roman" w:hAnsi="Times New Roman"/>
          <w:bCs/>
          <w:iCs/>
          <w:sz w:val="24"/>
          <w:szCs w:val="24"/>
        </w:rPr>
        <w:t xml:space="preserve"> dipengaruhi secara negatif signifikan oleh jangka waktu jatuh tempo</w:t>
      </w:r>
      <w:r w:rsidR="003474E1">
        <w:rPr>
          <w:rFonts w:ascii="Times New Roman" w:hAnsi="Times New Roman"/>
          <w:bCs/>
          <w:iCs/>
          <w:sz w:val="24"/>
          <w:szCs w:val="24"/>
        </w:rPr>
        <w:t>.</w:t>
      </w:r>
      <w:proofErr w:type="gramEnd"/>
      <w:r w:rsidR="003474E1">
        <w:rPr>
          <w:rFonts w:ascii="Times New Roman" w:hAnsi="Times New Roman"/>
          <w:bCs/>
          <w:iCs/>
          <w:sz w:val="24"/>
          <w:szCs w:val="24"/>
        </w:rPr>
        <w:t xml:space="preserve"> </w:t>
      </w:r>
      <w:proofErr w:type="gramStart"/>
      <w:r w:rsidR="003474E1">
        <w:rPr>
          <w:rFonts w:ascii="Times New Roman" w:hAnsi="Times New Roman"/>
          <w:bCs/>
          <w:iCs/>
          <w:sz w:val="24"/>
          <w:szCs w:val="24"/>
        </w:rPr>
        <w:t xml:space="preserve">Namun, waktu jatuh tempo tidak berpengaruh </w:t>
      </w:r>
      <w:r w:rsidR="0038455E">
        <w:rPr>
          <w:rFonts w:ascii="Times New Roman" w:hAnsi="Times New Roman"/>
          <w:bCs/>
          <w:iCs/>
          <w:sz w:val="24"/>
          <w:szCs w:val="24"/>
        </w:rPr>
        <w:t xml:space="preserve">signifikan </w:t>
      </w:r>
      <w:r w:rsidR="003474E1">
        <w:rPr>
          <w:rFonts w:ascii="Times New Roman" w:hAnsi="Times New Roman"/>
          <w:bCs/>
          <w:iCs/>
          <w:sz w:val="24"/>
          <w:szCs w:val="24"/>
        </w:rPr>
        <w:t>terhadap perubahan harga obligasi korporasi berperingkat tinggi</w:t>
      </w:r>
      <w:r w:rsidR="001F76B0">
        <w:rPr>
          <w:rFonts w:ascii="Times New Roman" w:hAnsi="Times New Roman"/>
          <w:bCs/>
          <w:iCs/>
          <w:sz w:val="24"/>
          <w:szCs w:val="24"/>
        </w:rPr>
        <w:t xml:space="preserve"> karena pemodal </w:t>
      </w:r>
      <w:r w:rsidR="003474E1">
        <w:rPr>
          <w:rFonts w:ascii="Times New Roman" w:hAnsi="Times New Roman"/>
          <w:bCs/>
          <w:iCs/>
          <w:sz w:val="24"/>
          <w:szCs w:val="24"/>
        </w:rPr>
        <w:t>memiliki kepercayaan yang tinggi terhadap obligasi berperingkat tinggi sehingga waktu jatuh tempo tidak dijadikan patokan dalam berinvestasi.</w:t>
      </w:r>
      <w:proofErr w:type="gramEnd"/>
      <w:r w:rsidR="00675C8D">
        <w:rPr>
          <w:rFonts w:ascii="Times New Roman" w:hAnsi="Times New Roman"/>
          <w:bCs/>
          <w:iCs/>
          <w:sz w:val="24"/>
          <w:szCs w:val="24"/>
        </w:rPr>
        <w:t xml:space="preserve"> </w:t>
      </w:r>
      <w:proofErr w:type="gramStart"/>
      <w:r w:rsidR="00675C8D">
        <w:rPr>
          <w:rFonts w:ascii="Times New Roman" w:hAnsi="Times New Roman"/>
          <w:bCs/>
          <w:iCs/>
          <w:sz w:val="24"/>
          <w:szCs w:val="24"/>
        </w:rPr>
        <w:t>Hasil penelitian ini sesuai dengan temuan penelitian Juhartono (2010) dan Watcher (2001).</w:t>
      </w:r>
      <w:proofErr w:type="gramEnd"/>
    </w:p>
    <w:p w:rsidR="007A5671" w:rsidRDefault="00545A01" w:rsidP="007A5671">
      <w:pPr>
        <w:pStyle w:val="ListParagraph"/>
        <w:autoSpaceDE w:val="0"/>
        <w:autoSpaceDN w:val="0"/>
        <w:adjustRightInd w:val="0"/>
        <w:spacing w:line="480" w:lineRule="auto"/>
        <w:ind w:left="0"/>
        <w:jc w:val="both"/>
        <w:rPr>
          <w:rFonts w:ascii="Times New Roman" w:hAnsi="Times New Roman"/>
          <w:b/>
          <w:sz w:val="24"/>
          <w:szCs w:val="24"/>
        </w:rPr>
      </w:pPr>
      <w:r>
        <w:rPr>
          <w:rFonts w:ascii="Times New Roman" w:hAnsi="Times New Roman"/>
          <w:b/>
          <w:sz w:val="24"/>
          <w:szCs w:val="24"/>
        </w:rPr>
        <w:t>Pembahasan Hasil Penelitian Hipotesis 3</w:t>
      </w:r>
    </w:p>
    <w:p w:rsidR="007A5671" w:rsidRDefault="00C36ECF" w:rsidP="007A5671">
      <w:pPr>
        <w:pStyle w:val="ListParagraph"/>
        <w:autoSpaceDE w:val="0"/>
        <w:autoSpaceDN w:val="0"/>
        <w:adjustRightInd w:val="0"/>
        <w:spacing w:line="480" w:lineRule="auto"/>
        <w:ind w:left="0" w:firstLine="540"/>
        <w:jc w:val="both"/>
        <w:rPr>
          <w:rFonts w:ascii="Times New Roman" w:hAnsi="Times New Roman"/>
          <w:sz w:val="24"/>
          <w:szCs w:val="24"/>
        </w:rPr>
      </w:pPr>
      <w:r>
        <w:rPr>
          <w:rFonts w:ascii="Times New Roman" w:hAnsi="Times New Roman"/>
          <w:bCs/>
          <w:iCs/>
          <w:sz w:val="24"/>
          <w:szCs w:val="24"/>
        </w:rPr>
        <w:t>Berdasarkan hasil analisis uji regresi linear berganda, k</w:t>
      </w:r>
      <w:r w:rsidR="007A5671" w:rsidRPr="007A5671">
        <w:rPr>
          <w:rFonts w:ascii="Times New Roman" w:hAnsi="Times New Roman"/>
          <w:bCs/>
          <w:iCs/>
          <w:sz w:val="24"/>
          <w:szCs w:val="24"/>
        </w:rPr>
        <w:t xml:space="preserve">upon </w:t>
      </w:r>
      <w:r w:rsidR="00055B6B">
        <w:rPr>
          <w:rFonts w:ascii="Times New Roman" w:hAnsi="Times New Roman"/>
          <w:bCs/>
          <w:iCs/>
          <w:sz w:val="24"/>
          <w:szCs w:val="24"/>
        </w:rPr>
        <w:t>berpengaruh negatif namun tidak signifikan t</w:t>
      </w:r>
      <w:r w:rsidR="007A5671" w:rsidRPr="007A5671">
        <w:rPr>
          <w:rFonts w:ascii="Times New Roman" w:hAnsi="Times New Roman"/>
          <w:bCs/>
          <w:iCs/>
          <w:sz w:val="24"/>
          <w:szCs w:val="24"/>
        </w:rPr>
        <w:t>erhadap perubahan harga obligasi korporasi berperingkat rendah</w:t>
      </w:r>
      <w:r w:rsidR="00F077EA">
        <w:rPr>
          <w:rFonts w:ascii="Times New Roman" w:hAnsi="Times New Roman"/>
          <w:bCs/>
          <w:iCs/>
          <w:sz w:val="24"/>
          <w:szCs w:val="24"/>
        </w:rPr>
        <w:t>, hal ini dikarenakan</w:t>
      </w:r>
      <w:r w:rsidR="00F077EA">
        <w:rPr>
          <w:rFonts w:ascii="Times New Roman" w:hAnsi="Times New Roman"/>
          <w:sz w:val="24"/>
          <w:szCs w:val="24"/>
        </w:rPr>
        <w:t xml:space="preserve"> investor cenderung tidak berani </w:t>
      </w:r>
      <w:r w:rsidR="00F077EA">
        <w:rPr>
          <w:rFonts w:ascii="Times New Roman" w:hAnsi="Times New Roman"/>
          <w:sz w:val="24"/>
          <w:szCs w:val="24"/>
        </w:rPr>
        <w:lastRenderedPageBreak/>
        <w:t>mengambil risiko yang terlalu tinggi karena obligasi yang memiliki risiko tinggi akan menawarkan kupon yang lebih tinggi pula</w:t>
      </w:r>
      <w:r w:rsidR="00134D18">
        <w:rPr>
          <w:rFonts w:ascii="Times New Roman" w:hAnsi="Times New Roman"/>
          <w:sz w:val="24"/>
          <w:szCs w:val="24"/>
        </w:rPr>
        <w:t xml:space="preserve"> sebagai kompensasi atas risiko yang ditanggungnya (Driessen, 2002)</w:t>
      </w:r>
      <w:r w:rsidR="00F077EA">
        <w:rPr>
          <w:rFonts w:ascii="Times New Roman" w:hAnsi="Times New Roman"/>
          <w:sz w:val="24"/>
          <w:szCs w:val="24"/>
        </w:rPr>
        <w:t>, sehingga investor  memilih obligasi peringkat rendah dengan kupon yang lebih rendah</w:t>
      </w:r>
      <w:r w:rsidR="007A5671" w:rsidRPr="007A5671">
        <w:rPr>
          <w:rFonts w:ascii="Times New Roman" w:hAnsi="Times New Roman"/>
          <w:sz w:val="24"/>
          <w:szCs w:val="24"/>
        </w:rPr>
        <w:t xml:space="preserve">. </w:t>
      </w:r>
      <w:proofErr w:type="gramStart"/>
      <w:r w:rsidR="00CF23BB">
        <w:rPr>
          <w:rFonts w:ascii="Times New Roman" w:hAnsi="Times New Roman"/>
          <w:sz w:val="24"/>
          <w:szCs w:val="24"/>
        </w:rPr>
        <w:t>Namun, Achmad dan Setiawan (2007) menyatakan bahwa kupon obligasi belum cukup berperan dalam penentuan harga obligasi sehingga hubungan negatif tersebut tidak berpengaruh secara signifikan.</w:t>
      </w:r>
      <w:proofErr w:type="gramEnd"/>
      <w:r w:rsidR="00CF23BB">
        <w:rPr>
          <w:rFonts w:ascii="Times New Roman" w:hAnsi="Times New Roman"/>
          <w:sz w:val="24"/>
          <w:szCs w:val="24"/>
        </w:rPr>
        <w:t xml:space="preserve"> </w:t>
      </w:r>
      <w:proofErr w:type="gramStart"/>
      <w:r w:rsidR="000E48EE">
        <w:rPr>
          <w:rFonts w:ascii="Times New Roman" w:hAnsi="Times New Roman"/>
          <w:bCs/>
          <w:iCs/>
          <w:sz w:val="24"/>
          <w:szCs w:val="24"/>
        </w:rPr>
        <w:t>Pada</w:t>
      </w:r>
      <w:r w:rsidR="007A5671" w:rsidRPr="007A5671">
        <w:rPr>
          <w:rFonts w:ascii="Times New Roman" w:hAnsi="Times New Roman"/>
          <w:bCs/>
          <w:iCs/>
          <w:sz w:val="24"/>
          <w:szCs w:val="24"/>
        </w:rPr>
        <w:t xml:space="preserve"> tingkat signifikansi sebesar 5 persen</w:t>
      </w:r>
      <w:r w:rsidR="000E48EE">
        <w:rPr>
          <w:rFonts w:ascii="Times New Roman" w:hAnsi="Times New Roman"/>
          <w:bCs/>
          <w:iCs/>
          <w:sz w:val="24"/>
          <w:szCs w:val="24"/>
        </w:rPr>
        <w:t xml:space="preserve"> perubahan harga obligasi korporasi berperingkat tinggi secara positif signifikan dipengaruhi oleh kupon.</w:t>
      </w:r>
      <w:proofErr w:type="gramEnd"/>
      <w:r w:rsidR="000E48EE">
        <w:rPr>
          <w:rFonts w:ascii="Times New Roman" w:hAnsi="Times New Roman"/>
          <w:bCs/>
          <w:iCs/>
          <w:sz w:val="24"/>
          <w:szCs w:val="24"/>
        </w:rPr>
        <w:t xml:space="preserve"> </w:t>
      </w:r>
      <w:proofErr w:type="gramStart"/>
      <w:r w:rsidR="00C84589">
        <w:rPr>
          <w:rFonts w:ascii="Times New Roman" w:hAnsi="Times New Roman"/>
          <w:bCs/>
          <w:iCs/>
          <w:sz w:val="24"/>
          <w:szCs w:val="24"/>
        </w:rPr>
        <w:t>Hal ini sesuai den</w:t>
      </w:r>
      <w:r w:rsidR="00134D18">
        <w:rPr>
          <w:rFonts w:ascii="Times New Roman" w:hAnsi="Times New Roman"/>
          <w:bCs/>
          <w:iCs/>
          <w:sz w:val="24"/>
          <w:szCs w:val="24"/>
        </w:rPr>
        <w:t xml:space="preserve">gan hipotesis yang diajukan, </w:t>
      </w:r>
      <w:r w:rsidR="00C84589">
        <w:rPr>
          <w:rFonts w:ascii="Times New Roman" w:hAnsi="Times New Roman"/>
          <w:bCs/>
          <w:iCs/>
          <w:sz w:val="24"/>
          <w:szCs w:val="24"/>
        </w:rPr>
        <w:t>teori</w:t>
      </w:r>
      <w:r w:rsidR="00134D18">
        <w:rPr>
          <w:rFonts w:ascii="Times New Roman" w:hAnsi="Times New Roman"/>
          <w:bCs/>
          <w:iCs/>
          <w:sz w:val="24"/>
          <w:szCs w:val="24"/>
        </w:rPr>
        <w:t xml:space="preserve"> dan juga hasil penelitian terdahulu yang dilakukan oleh Idris (2009)</w:t>
      </w:r>
      <w:r w:rsidR="00C84589">
        <w:rPr>
          <w:rFonts w:ascii="Times New Roman" w:hAnsi="Times New Roman"/>
          <w:bCs/>
          <w:iCs/>
          <w:sz w:val="24"/>
          <w:szCs w:val="24"/>
        </w:rPr>
        <w:t>.</w:t>
      </w:r>
      <w:proofErr w:type="gramEnd"/>
      <w:r w:rsidR="00C84589">
        <w:rPr>
          <w:rFonts w:ascii="Times New Roman" w:hAnsi="Times New Roman"/>
          <w:bCs/>
          <w:iCs/>
          <w:sz w:val="24"/>
          <w:szCs w:val="24"/>
        </w:rPr>
        <w:t xml:space="preserve"> </w:t>
      </w:r>
      <w:r w:rsidR="007A5671" w:rsidRPr="007A5671">
        <w:rPr>
          <w:rFonts w:ascii="Times New Roman" w:hAnsi="Times New Roman"/>
          <w:sz w:val="24"/>
          <w:szCs w:val="24"/>
        </w:rPr>
        <w:t xml:space="preserve">Investor akan lebih selektif memilih obligasi dengan peringkat tinggi mana yang menghasilkan bagi dirinya, dan salah satu faktor yang dijadikan investor dalam melakukan analisis pemilihan obligasi tersebut adalah kupon yang ditawarkan obligasi berperingkat tinggi. Semakin tinggi kupon yang ditawarkan oleh suatu obligasi berperingkat tinggi makan investor cenderung </w:t>
      </w:r>
      <w:proofErr w:type="gramStart"/>
      <w:r w:rsidR="007A5671" w:rsidRPr="007A5671">
        <w:rPr>
          <w:rFonts w:ascii="Times New Roman" w:hAnsi="Times New Roman"/>
          <w:sz w:val="24"/>
          <w:szCs w:val="24"/>
        </w:rPr>
        <w:t>akan</w:t>
      </w:r>
      <w:proofErr w:type="gramEnd"/>
      <w:r w:rsidR="007A5671" w:rsidRPr="007A5671">
        <w:rPr>
          <w:rFonts w:ascii="Times New Roman" w:hAnsi="Times New Roman"/>
          <w:sz w:val="24"/>
          <w:szCs w:val="24"/>
        </w:rPr>
        <w:t xml:space="preserve"> membeli obligasi tersebut karena dianggap yang paling memberi manfaat dan menguntungkan bagi dirinya. </w:t>
      </w:r>
    </w:p>
    <w:p w:rsidR="009A7BC4" w:rsidRDefault="009A7BC4" w:rsidP="009A7BC4">
      <w:pPr>
        <w:pStyle w:val="ListParagraph"/>
        <w:autoSpaceDE w:val="0"/>
        <w:autoSpaceDN w:val="0"/>
        <w:adjustRightInd w:val="0"/>
        <w:spacing w:line="480" w:lineRule="auto"/>
        <w:ind w:left="0"/>
        <w:jc w:val="both"/>
        <w:rPr>
          <w:rFonts w:ascii="Times New Roman" w:hAnsi="Times New Roman"/>
          <w:b/>
          <w:sz w:val="24"/>
          <w:szCs w:val="24"/>
        </w:rPr>
      </w:pPr>
      <w:r w:rsidRPr="009A7BC4">
        <w:rPr>
          <w:rFonts w:ascii="Times New Roman" w:hAnsi="Times New Roman"/>
          <w:b/>
          <w:sz w:val="24"/>
          <w:szCs w:val="24"/>
        </w:rPr>
        <w:t>Pembahasan Hasil Koefisien Determinan</w:t>
      </w:r>
    </w:p>
    <w:p w:rsidR="00EE0B78" w:rsidRDefault="009A7BC4" w:rsidP="008D65FB">
      <w:pPr>
        <w:pStyle w:val="ListParagraph"/>
        <w:autoSpaceDE w:val="0"/>
        <w:autoSpaceDN w:val="0"/>
        <w:adjustRightInd w:val="0"/>
        <w:spacing w:line="480" w:lineRule="auto"/>
        <w:ind w:left="0" w:firstLine="360"/>
        <w:jc w:val="both"/>
        <w:rPr>
          <w:rFonts w:ascii="Times New Roman" w:hAnsi="Times New Roman"/>
          <w:sz w:val="24"/>
          <w:szCs w:val="24"/>
        </w:rPr>
      </w:pPr>
      <w:proofErr w:type="gramStart"/>
      <w:r w:rsidRPr="009A7BC4">
        <w:rPr>
          <w:rFonts w:ascii="Times New Roman" w:hAnsi="Times New Roman"/>
          <w:sz w:val="24"/>
          <w:szCs w:val="24"/>
        </w:rPr>
        <w:t>Besarnya koefisien determinasi pada obligasi berperingkat rendah adalah sebesar 0.682.</w:t>
      </w:r>
      <w:proofErr w:type="gramEnd"/>
      <w:r w:rsidRPr="009A7BC4">
        <w:rPr>
          <w:rFonts w:ascii="Times New Roman" w:hAnsi="Times New Roman"/>
          <w:sz w:val="24"/>
          <w:szCs w:val="24"/>
        </w:rPr>
        <w:t xml:space="preserve"> Hal ini berarti bahwa sebesar 68.2% variasi perubahan harga pada obligasi berperingkat rendah dapat dijelaskan oleh ketiga variabel bebas yaitu likuiditas, waktu jatuh temp</w:t>
      </w:r>
      <w:r w:rsidR="008D65FB">
        <w:rPr>
          <w:rFonts w:ascii="Times New Roman" w:hAnsi="Times New Roman"/>
          <w:sz w:val="24"/>
          <w:szCs w:val="24"/>
        </w:rPr>
        <w:t xml:space="preserve">o dan kupon obligasi, </w:t>
      </w:r>
      <w:r w:rsidRPr="009A7BC4">
        <w:rPr>
          <w:rFonts w:ascii="Times New Roman" w:hAnsi="Times New Roman"/>
          <w:sz w:val="24"/>
          <w:szCs w:val="24"/>
        </w:rPr>
        <w:t xml:space="preserve">sisanya sebesar 31.8% dijelaskan oleh variabel </w:t>
      </w:r>
      <w:proofErr w:type="gramStart"/>
      <w:r w:rsidRPr="009A7BC4">
        <w:rPr>
          <w:rFonts w:ascii="Times New Roman" w:hAnsi="Times New Roman"/>
          <w:sz w:val="24"/>
          <w:szCs w:val="24"/>
        </w:rPr>
        <w:t>lain</w:t>
      </w:r>
      <w:proofErr w:type="gramEnd"/>
      <w:r w:rsidRPr="009A7BC4">
        <w:rPr>
          <w:rFonts w:ascii="Times New Roman" w:hAnsi="Times New Roman"/>
          <w:sz w:val="24"/>
          <w:szCs w:val="24"/>
        </w:rPr>
        <w:t xml:space="preserve"> di luar model regresi. </w:t>
      </w:r>
      <w:r w:rsidR="009C6E38">
        <w:rPr>
          <w:rFonts w:ascii="Times New Roman" w:hAnsi="Times New Roman"/>
          <w:sz w:val="24"/>
          <w:szCs w:val="24"/>
        </w:rPr>
        <w:t>K</w:t>
      </w:r>
      <w:r w:rsidRPr="009A7BC4">
        <w:rPr>
          <w:rFonts w:ascii="Times New Roman" w:hAnsi="Times New Roman"/>
          <w:sz w:val="24"/>
          <w:szCs w:val="24"/>
        </w:rPr>
        <w:t xml:space="preserve">oefisien determinasi obligasi berperingkat tinggi sebesar 0.628 </w:t>
      </w:r>
      <w:proofErr w:type="gramStart"/>
      <w:r w:rsidRPr="009A7BC4">
        <w:rPr>
          <w:rFonts w:ascii="Times New Roman" w:hAnsi="Times New Roman"/>
          <w:sz w:val="24"/>
          <w:szCs w:val="24"/>
        </w:rPr>
        <w:t>yag</w:t>
      </w:r>
      <w:proofErr w:type="gramEnd"/>
      <w:r w:rsidRPr="009A7BC4">
        <w:rPr>
          <w:rFonts w:ascii="Times New Roman" w:hAnsi="Times New Roman"/>
          <w:sz w:val="24"/>
          <w:szCs w:val="24"/>
        </w:rPr>
        <w:t xml:space="preserve"> menunjukkan bahwa variasi perubahan </w:t>
      </w:r>
      <w:r w:rsidRPr="009A7BC4">
        <w:rPr>
          <w:rFonts w:ascii="Times New Roman" w:hAnsi="Times New Roman"/>
          <w:sz w:val="24"/>
          <w:szCs w:val="24"/>
        </w:rPr>
        <w:lastRenderedPageBreak/>
        <w:t>harga obligasi berperingkat tinggi dapat dijelaskan oleh ketiga variabel bebas sebesar 62.8%, sedangkan sisanya sebesar 37.2% dijelaskan oleh variabel lain di luar model regresi.</w:t>
      </w:r>
      <w:r w:rsidR="008D65FB">
        <w:rPr>
          <w:rFonts w:ascii="Times New Roman" w:hAnsi="Times New Roman"/>
          <w:sz w:val="24"/>
          <w:szCs w:val="24"/>
        </w:rPr>
        <w:t xml:space="preserve"> Uji koefisien determinan tersebut menunjukkan bahwa variasi perubahan harga obligasi peringkat rendah yang paling mampu dijelaskan lebih banyak oleh likuiditas, waktu jatuh tempo dan kupon, karena nilai koefisien determinasi obligasi berperingkat rendah mendekati 1 dibandingkan dengan obligasi berperingkat tinggi. </w:t>
      </w:r>
      <w:proofErr w:type="gramStart"/>
      <w:r w:rsidR="00400F48">
        <w:rPr>
          <w:rFonts w:ascii="Times New Roman" w:hAnsi="Times New Roman"/>
          <w:sz w:val="24"/>
          <w:szCs w:val="24"/>
        </w:rPr>
        <w:t>Tabel 3.</w:t>
      </w:r>
      <w:proofErr w:type="gramEnd"/>
      <w:r w:rsidR="00400F48">
        <w:rPr>
          <w:rFonts w:ascii="Times New Roman" w:hAnsi="Times New Roman"/>
          <w:sz w:val="24"/>
          <w:szCs w:val="24"/>
        </w:rPr>
        <w:t xml:space="preserve"> </w:t>
      </w:r>
      <w:proofErr w:type="gramStart"/>
      <w:r w:rsidR="00400F48">
        <w:rPr>
          <w:rFonts w:ascii="Times New Roman" w:hAnsi="Times New Roman"/>
          <w:sz w:val="24"/>
          <w:szCs w:val="24"/>
        </w:rPr>
        <w:t>berikut</w:t>
      </w:r>
      <w:proofErr w:type="gramEnd"/>
      <w:r w:rsidR="00400F48">
        <w:rPr>
          <w:rFonts w:ascii="Times New Roman" w:hAnsi="Times New Roman"/>
          <w:sz w:val="24"/>
          <w:szCs w:val="24"/>
        </w:rPr>
        <w:t xml:space="preserve"> menunjukkan hasil uji koefisien determinan obligasi berperingkat rendah dan berperingkat tinggi.</w:t>
      </w:r>
    </w:p>
    <w:p w:rsidR="003E3BA1" w:rsidRDefault="00EE0B78" w:rsidP="00A21218">
      <w:pPr>
        <w:pStyle w:val="ListParagraph"/>
        <w:autoSpaceDE w:val="0"/>
        <w:autoSpaceDN w:val="0"/>
        <w:adjustRightInd w:val="0"/>
        <w:spacing w:after="0" w:line="240" w:lineRule="auto"/>
        <w:ind w:left="994" w:hanging="994"/>
        <w:contextualSpacing w:val="0"/>
        <w:jc w:val="center"/>
        <w:rPr>
          <w:rFonts w:ascii="Times New Roman" w:hAnsi="Times New Roman"/>
          <w:b/>
          <w:sz w:val="24"/>
          <w:szCs w:val="24"/>
        </w:rPr>
      </w:pPr>
      <w:proofErr w:type="gramStart"/>
      <w:r w:rsidRPr="00EE0B78">
        <w:rPr>
          <w:rFonts w:ascii="Times New Roman" w:hAnsi="Times New Roman"/>
          <w:b/>
          <w:sz w:val="24"/>
          <w:szCs w:val="24"/>
        </w:rPr>
        <w:t>Tabel 3.</w:t>
      </w:r>
      <w:proofErr w:type="gramEnd"/>
    </w:p>
    <w:p w:rsidR="003E3BA1" w:rsidRDefault="00EE0B78" w:rsidP="00A21218">
      <w:pPr>
        <w:pStyle w:val="ListParagraph"/>
        <w:autoSpaceDE w:val="0"/>
        <w:autoSpaceDN w:val="0"/>
        <w:adjustRightInd w:val="0"/>
        <w:spacing w:after="0" w:line="240" w:lineRule="auto"/>
        <w:ind w:left="994" w:hanging="994"/>
        <w:contextualSpacing w:val="0"/>
        <w:jc w:val="center"/>
        <w:rPr>
          <w:rFonts w:ascii="Times New Roman" w:hAnsi="Times New Roman"/>
          <w:b/>
          <w:sz w:val="24"/>
          <w:szCs w:val="24"/>
        </w:rPr>
      </w:pPr>
      <w:r w:rsidRPr="00EE0B78">
        <w:rPr>
          <w:rFonts w:ascii="Times New Roman" w:hAnsi="Times New Roman"/>
          <w:b/>
          <w:sz w:val="24"/>
          <w:szCs w:val="24"/>
        </w:rPr>
        <w:t xml:space="preserve">Koefisien Determinasi Obligasi Peringkat </w:t>
      </w:r>
      <w:r w:rsidR="003E3BA1">
        <w:rPr>
          <w:rFonts w:ascii="Times New Roman" w:hAnsi="Times New Roman"/>
          <w:b/>
          <w:sz w:val="24"/>
          <w:szCs w:val="24"/>
        </w:rPr>
        <w:t>Rendah dan Obligasi</w:t>
      </w:r>
    </w:p>
    <w:p w:rsidR="00EE0B78" w:rsidRPr="00EE0B78" w:rsidRDefault="003E3BA1" w:rsidP="00A21218">
      <w:pPr>
        <w:pStyle w:val="ListParagraph"/>
        <w:autoSpaceDE w:val="0"/>
        <w:autoSpaceDN w:val="0"/>
        <w:adjustRightInd w:val="0"/>
        <w:spacing w:after="0" w:line="240" w:lineRule="auto"/>
        <w:ind w:left="994" w:hanging="994"/>
        <w:contextualSpacing w:val="0"/>
        <w:jc w:val="center"/>
        <w:rPr>
          <w:rFonts w:ascii="Times New Roman" w:hAnsi="Times New Roman"/>
          <w:b/>
          <w:sz w:val="24"/>
          <w:szCs w:val="24"/>
        </w:rPr>
      </w:pPr>
      <w:r>
        <w:rPr>
          <w:rFonts w:ascii="Times New Roman" w:hAnsi="Times New Roman"/>
          <w:b/>
          <w:sz w:val="24"/>
          <w:szCs w:val="24"/>
        </w:rPr>
        <w:t xml:space="preserve">Peringkat </w:t>
      </w:r>
      <w:r w:rsidR="00EE0B78" w:rsidRPr="00EE0B78">
        <w:rPr>
          <w:rFonts w:ascii="Times New Roman" w:hAnsi="Times New Roman"/>
          <w:b/>
          <w:sz w:val="24"/>
          <w:szCs w:val="24"/>
        </w:rPr>
        <w:t>Tinggi</w:t>
      </w:r>
    </w:p>
    <w:tbl>
      <w:tblPr>
        <w:tblW w:w="7754" w:type="dxa"/>
        <w:jc w:val="center"/>
        <w:tblInd w:w="-2776" w:type="dxa"/>
        <w:tblLook w:val="04A0"/>
      </w:tblPr>
      <w:tblGrid>
        <w:gridCol w:w="5794"/>
        <w:gridCol w:w="1960"/>
      </w:tblGrid>
      <w:tr w:rsidR="00EE0B78" w:rsidRPr="00EE0B78" w:rsidTr="00A21218">
        <w:trPr>
          <w:trHeight w:val="1275"/>
          <w:jc w:val="center"/>
        </w:trPr>
        <w:tc>
          <w:tcPr>
            <w:tcW w:w="5794" w:type="dxa"/>
            <w:tcBorders>
              <w:top w:val="single" w:sz="8" w:space="0" w:color="auto"/>
              <w:bottom w:val="single" w:sz="8" w:space="0" w:color="auto"/>
              <w:right w:val="nil"/>
            </w:tcBorders>
            <w:shd w:val="clear" w:color="auto" w:fill="auto"/>
            <w:vAlign w:val="center"/>
            <w:hideMark/>
          </w:tcPr>
          <w:p w:rsidR="00EE0B78" w:rsidRPr="00EE0B78" w:rsidRDefault="00EE0B78" w:rsidP="00EE0B78">
            <w:pPr>
              <w:jc w:val="center"/>
              <w:rPr>
                <w:rFonts w:eastAsia="Times New Roman"/>
                <w:b/>
                <w:bCs/>
                <w:color w:val="000000"/>
              </w:rPr>
            </w:pPr>
            <w:r w:rsidRPr="00EE0B78">
              <w:rPr>
                <w:rFonts w:eastAsia="Times New Roman"/>
                <w:b/>
                <w:bCs/>
                <w:color w:val="000000"/>
              </w:rPr>
              <w:t>Adjusted R Square Obligasi Peringkat Rendah</w:t>
            </w:r>
          </w:p>
        </w:tc>
        <w:tc>
          <w:tcPr>
            <w:tcW w:w="1960" w:type="dxa"/>
            <w:tcBorders>
              <w:top w:val="single" w:sz="8" w:space="0" w:color="auto"/>
              <w:left w:val="single" w:sz="4" w:space="0" w:color="auto"/>
              <w:bottom w:val="single" w:sz="8" w:space="0" w:color="auto"/>
            </w:tcBorders>
            <w:shd w:val="clear" w:color="auto" w:fill="auto"/>
            <w:vAlign w:val="center"/>
            <w:hideMark/>
          </w:tcPr>
          <w:p w:rsidR="00EC2D84" w:rsidRDefault="00EE0B78" w:rsidP="00EE0B78">
            <w:pPr>
              <w:jc w:val="center"/>
              <w:rPr>
                <w:rFonts w:eastAsia="Times New Roman"/>
                <w:b/>
                <w:bCs/>
                <w:color w:val="000000"/>
              </w:rPr>
            </w:pPr>
            <w:r w:rsidRPr="00EE0B78">
              <w:rPr>
                <w:rFonts w:eastAsia="Times New Roman"/>
                <w:b/>
                <w:bCs/>
                <w:color w:val="000000"/>
              </w:rPr>
              <w:t>Adjus</w:t>
            </w:r>
            <w:r w:rsidR="00EC2D84">
              <w:rPr>
                <w:rFonts w:eastAsia="Times New Roman"/>
                <w:b/>
                <w:bCs/>
                <w:color w:val="000000"/>
              </w:rPr>
              <w:t>ted R Square Obligasi Peringkat</w:t>
            </w:r>
          </w:p>
          <w:p w:rsidR="00EE0B78" w:rsidRPr="00EE0B78" w:rsidRDefault="00EE0B78" w:rsidP="00EE0B78">
            <w:pPr>
              <w:jc w:val="center"/>
              <w:rPr>
                <w:rFonts w:eastAsia="Times New Roman"/>
                <w:b/>
                <w:bCs/>
                <w:color w:val="000000"/>
              </w:rPr>
            </w:pPr>
            <w:r w:rsidRPr="00EE0B78">
              <w:rPr>
                <w:rFonts w:eastAsia="Times New Roman"/>
                <w:b/>
                <w:bCs/>
                <w:color w:val="000000"/>
              </w:rPr>
              <w:t>Tinggi</w:t>
            </w:r>
          </w:p>
        </w:tc>
      </w:tr>
      <w:tr w:rsidR="00EE0B78" w:rsidRPr="00EE0B78" w:rsidTr="00A21218">
        <w:trPr>
          <w:trHeight w:val="330"/>
          <w:jc w:val="center"/>
        </w:trPr>
        <w:tc>
          <w:tcPr>
            <w:tcW w:w="5794" w:type="dxa"/>
            <w:tcBorders>
              <w:top w:val="nil"/>
              <w:bottom w:val="single" w:sz="8" w:space="0" w:color="auto"/>
              <w:right w:val="nil"/>
            </w:tcBorders>
            <w:shd w:val="clear" w:color="auto" w:fill="auto"/>
            <w:vAlign w:val="center"/>
            <w:hideMark/>
          </w:tcPr>
          <w:p w:rsidR="00EE0B78" w:rsidRPr="00EE0B78" w:rsidRDefault="00EE0B78" w:rsidP="00EE0B78">
            <w:pPr>
              <w:jc w:val="center"/>
              <w:rPr>
                <w:rFonts w:eastAsia="Times New Roman"/>
                <w:color w:val="000000"/>
              </w:rPr>
            </w:pPr>
            <w:r w:rsidRPr="00EE0B78">
              <w:rPr>
                <w:rFonts w:eastAsia="Times New Roman"/>
                <w:color w:val="000000"/>
              </w:rPr>
              <w:t>0.682</w:t>
            </w:r>
          </w:p>
        </w:tc>
        <w:tc>
          <w:tcPr>
            <w:tcW w:w="1960" w:type="dxa"/>
            <w:tcBorders>
              <w:top w:val="nil"/>
              <w:left w:val="single" w:sz="4" w:space="0" w:color="auto"/>
              <w:bottom w:val="single" w:sz="8" w:space="0" w:color="auto"/>
            </w:tcBorders>
            <w:shd w:val="clear" w:color="auto" w:fill="auto"/>
            <w:noWrap/>
            <w:vAlign w:val="bottom"/>
            <w:hideMark/>
          </w:tcPr>
          <w:p w:rsidR="00EE0B78" w:rsidRPr="00EE0B78" w:rsidRDefault="00EE0B78" w:rsidP="00EE0B78">
            <w:pPr>
              <w:jc w:val="center"/>
              <w:rPr>
                <w:rFonts w:eastAsia="Times New Roman"/>
                <w:color w:val="000000"/>
              </w:rPr>
            </w:pPr>
            <w:r w:rsidRPr="00EE0B78">
              <w:rPr>
                <w:rFonts w:eastAsia="Times New Roman"/>
                <w:color w:val="000000"/>
              </w:rPr>
              <w:t>0.628</w:t>
            </w:r>
          </w:p>
        </w:tc>
      </w:tr>
      <w:tr w:rsidR="00EE0B78" w:rsidRPr="00EE0B78" w:rsidTr="00A21218">
        <w:trPr>
          <w:trHeight w:val="300"/>
          <w:jc w:val="center"/>
        </w:trPr>
        <w:tc>
          <w:tcPr>
            <w:tcW w:w="7754" w:type="dxa"/>
            <w:gridSpan w:val="2"/>
            <w:tcBorders>
              <w:top w:val="nil"/>
              <w:left w:val="nil"/>
              <w:bottom w:val="nil"/>
              <w:right w:val="nil"/>
            </w:tcBorders>
            <w:shd w:val="clear" w:color="auto" w:fill="auto"/>
            <w:noWrap/>
            <w:vAlign w:val="bottom"/>
            <w:hideMark/>
          </w:tcPr>
          <w:p w:rsidR="00EE0B78" w:rsidRPr="00EE0B78" w:rsidRDefault="00EE0B78" w:rsidP="00EE0B78">
            <w:pPr>
              <w:rPr>
                <w:rFonts w:eastAsia="Times New Roman"/>
                <w:color w:val="000000"/>
                <w:sz w:val="18"/>
                <w:szCs w:val="18"/>
              </w:rPr>
            </w:pPr>
            <w:r w:rsidRPr="00EE0B78">
              <w:rPr>
                <w:rFonts w:eastAsia="Times New Roman"/>
                <w:color w:val="000000"/>
                <w:sz w:val="18"/>
                <w:szCs w:val="18"/>
              </w:rPr>
              <w:t>a. Predictors: (Constant) X</w:t>
            </w:r>
            <w:r w:rsidRPr="00EE0B78">
              <w:rPr>
                <w:rFonts w:eastAsia="Times New Roman"/>
                <w:color w:val="000000"/>
                <w:sz w:val="18"/>
                <w:szCs w:val="18"/>
                <w:vertAlign w:val="subscript"/>
              </w:rPr>
              <w:t>3</w:t>
            </w:r>
            <w:r w:rsidRPr="00EE0B78">
              <w:rPr>
                <w:rFonts w:eastAsia="Times New Roman"/>
                <w:color w:val="000000"/>
                <w:sz w:val="18"/>
                <w:szCs w:val="18"/>
              </w:rPr>
              <w:t>, X</w:t>
            </w:r>
            <w:r w:rsidRPr="00EE0B78">
              <w:rPr>
                <w:rFonts w:eastAsia="Times New Roman"/>
                <w:color w:val="000000"/>
                <w:sz w:val="18"/>
                <w:szCs w:val="18"/>
                <w:vertAlign w:val="subscript"/>
              </w:rPr>
              <w:t>2</w:t>
            </w:r>
            <w:r w:rsidRPr="00EE0B78">
              <w:rPr>
                <w:rFonts w:eastAsia="Times New Roman"/>
                <w:color w:val="000000"/>
                <w:sz w:val="18"/>
                <w:szCs w:val="18"/>
              </w:rPr>
              <w:t>, X</w:t>
            </w:r>
            <w:r w:rsidRPr="00EE0B78">
              <w:rPr>
                <w:rFonts w:eastAsia="Times New Roman"/>
                <w:color w:val="000000"/>
                <w:sz w:val="18"/>
                <w:szCs w:val="18"/>
                <w:vertAlign w:val="subscript"/>
              </w:rPr>
              <w:t>1</w:t>
            </w:r>
          </w:p>
        </w:tc>
      </w:tr>
      <w:tr w:rsidR="00EE0B78" w:rsidRPr="00EE0B78" w:rsidTr="00A21218">
        <w:trPr>
          <w:trHeight w:val="300"/>
          <w:jc w:val="center"/>
        </w:trPr>
        <w:tc>
          <w:tcPr>
            <w:tcW w:w="7754" w:type="dxa"/>
            <w:gridSpan w:val="2"/>
            <w:tcBorders>
              <w:top w:val="nil"/>
              <w:left w:val="nil"/>
              <w:bottom w:val="nil"/>
              <w:right w:val="nil"/>
            </w:tcBorders>
            <w:shd w:val="clear" w:color="auto" w:fill="auto"/>
            <w:noWrap/>
            <w:vAlign w:val="bottom"/>
            <w:hideMark/>
          </w:tcPr>
          <w:p w:rsidR="00EE0B78" w:rsidRPr="00EE0B78" w:rsidRDefault="00EE0B78" w:rsidP="00EE0B78">
            <w:pPr>
              <w:rPr>
                <w:rFonts w:eastAsia="Times New Roman"/>
                <w:color w:val="000000"/>
                <w:sz w:val="18"/>
                <w:szCs w:val="18"/>
              </w:rPr>
            </w:pPr>
            <w:r w:rsidRPr="00EE0B78">
              <w:rPr>
                <w:rFonts w:eastAsia="Times New Roman"/>
                <w:color w:val="000000"/>
                <w:sz w:val="18"/>
                <w:szCs w:val="18"/>
              </w:rPr>
              <w:t>b. Dependent Variable: Y</w:t>
            </w:r>
          </w:p>
        </w:tc>
      </w:tr>
    </w:tbl>
    <w:p w:rsidR="00FD1B25" w:rsidRDefault="00A21218" w:rsidP="00EE0B78">
      <w:pPr>
        <w:pStyle w:val="ListParagraph"/>
        <w:autoSpaceDE w:val="0"/>
        <w:autoSpaceDN w:val="0"/>
        <w:adjustRightInd w:val="0"/>
        <w:spacing w:line="480" w:lineRule="auto"/>
        <w:ind w:left="0"/>
        <w:jc w:val="both"/>
        <w:rPr>
          <w:rFonts w:ascii="Times New Roman" w:hAnsi="Times New Roman"/>
          <w:sz w:val="24"/>
          <w:szCs w:val="24"/>
        </w:rPr>
      </w:pPr>
      <w:r>
        <w:rPr>
          <w:rFonts w:ascii="Times New Roman" w:hAnsi="Times New Roman"/>
          <w:sz w:val="24"/>
          <w:szCs w:val="24"/>
        </w:rPr>
        <w:t xml:space="preserve">   </w:t>
      </w:r>
      <w:r w:rsidR="003E3BA1">
        <w:rPr>
          <w:rFonts w:ascii="Times New Roman" w:hAnsi="Times New Roman"/>
          <w:sz w:val="24"/>
          <w:szCs w:val="24"/>
        </w:rPr>
        <w:t>Sumber: Lampiran</w:t>
      </w:r>
    </w:p>
    <w:p w:rsidR="008D65FB" w:rsidRDefault="00FD1B25" w:rsidP="00EE0B78">
      <w:pPr>
        <w:pStyle w:val="ListParagraph"/>
        <w:autoSpaceDE w:val="0"/>
        <w:autoSpaceDN w:val="0"/>
        <w:adjustRightInd w:val="0"/>
        <w:spacing w:line="480" w:lineRule="auto"/>
        <w:ind w:left="0"/>
        <w:jc w:val="both"/>
        <w:rPr>
          <w:rFonts w:ascii="Times New Roman" w:hAnsi="Times New Roman"/>
          <w:b/>
          <w:sz w:val="24"/>
          <w:szCs w:val="24"/>
        </w:rPr>
      </w:pPr>
      <w:r w:rsidRPr="00FD1B25">
        <w:rPr>
          <w:rFonts w:ascii="Times New Roman" w:hAnsi="Times New Roman"/>
          <w:b/>
          <w:sz w:val="24"/>
          <w:szCs w:val="24"/>
        </w:rPr>
        <w:t>SIMPULAN DAN SARAN</w:t>
      </w:r>
    </w:p>
    <w:p w:rsidR="00DB75D9" w:rsidRDefault="00DB75D9" w:rsidP="00DB75D9">
      <w:pPr>
        <w:pStyle w:val="ListParagraph"/>
        <w:autoSpaceDE w:val="0"/>
        <w:autoSpaceDN w:val="0"/>
        <w:adjustRightInd w:val="0"/>
        <w:spacing w:line="480" w:lineRule="auto"/>
        <w:ind w:left="0" w:firstLine="567"/>
        <w:jc w:val="both"/>
        <w:rPr>
          <w:rFonts w:ascii="Times New Roman" w:hAnsi="Times New Roman"/>
          <w:sz w:val="24"/>
          <w:szCs w:val="24"/>
        </w:rPr>
      </w:pPr>
      <w:proofErr w:type="gramStart"/>
      <w:r>
        <w:rPr>
          <w:rFonts w:ascii="Times New Roman" w:hAnsi="Times New Roman"/>
          <w:sz w:val="24"/>
          <w:szCs w:val="24"/>
        </w:rPr>
        <w:t xml:space="preserve">Berdasarkan hasil pembahasan penelitian yang telah </w:t>
      </w:r>
      <w:r w:rsidR="00EF614F">
        <w:rPr>
          <w:rFonts w:ascii="Times New Roman" w:hAnsi="Times New Roman"/>
          <w:sz w:val="24"/>
          <w:szCs w:val="24"/>
        </w:rPr>
        <w:t>dipaparkan tersebut</w:t>
      </w:r>
      <w:r>
        <w:rPr>
          <w:rFonts w:ascii="Times New Roman" w:hAnsi="Times New Roman"/>
          <w:sz w:val="24"/>
          <w:szCs w:val="24"/>
        </w:rPr>
        <w:t>, maka dapat ditarik kesimpulan bahwa</w:t>
      </w:r>
      <w:r w:rsidR="001333C8">
        <w:rPr>
          <w:rFonts w:ascii="Times New Roman" w:hAnsi="Times New Roman"/>
          <w:sz w:val="24"/>
          <w:szCs w:val="24"/>
        </w:rPr>
        <w:t xml:space="preserve"> secara parsial</w:t>
      </w:r>
      <w:r>
        <w:rPr>
          <w:rFonts w:ascii="Times New Roman" w:hAnsi="Times New Roman"/>
          <w:sz w:val="24"/>
          <w:szCs w:val="24"/>
        </w:rPr>
        <w:t xml:space="preserve"> </w:t>
      </w:r>
      <w:r w:rsidR="001333C8">
        <w:rPr>
          <w:rFonts w:ascii="Times New Roman" w:hAnsi="Times New Roman"/>
          <w:sz w:val="24"/>
          <w:szCs w:val="24"/>
        </w:rPr>
        <w:t>likuiditas hanya berpengaruh</w:t>
      </w:r>
      <w:r w:rsidR="00ED7140">
        <w:rPr>
          <w:rFonts w:ascii="Times New Roman" w:hAnsi="Times New Roman"/>
          <w:sz w:val="24"/>
          <w:szCs w:val="24"/>
        </w:rPr>
        <w:t xml:space="preserve"> positif dan signifikan</w:t>
      </w:r>
      <w:r w:rsidR="001333C8">
        <w:rPr>
          <w:rFonts w:ascii="Times New Roman" w:hAnsi="Times New Roman"/>
          <w:sz w:val="24"/>
          <w:szCs w:val="24"/>
        </w:rPr>
        <w:t xml:space="preserve"> terhadap perubahan harga obligasi berperingkat tinggi, tidak pada</w:t>
      </w:r>
      <w:r w:rsidR="00060005">
        <w:rPr>
          <w:rFonts w:ascii="Times New Roman" w:hAnsi="Times New Roman"/>
          <w:sz w:val="24"/>
          <w:szCs w:val="24"/>
        </w:rPr>
        <w:t xml:space="preserve"> obligasi berperingkat rendah.</w:t>
      </w:r>
      <w:proofErr w:type="gramEnd"/>
      <w:r w:rsidR="00060005">
        <w:rPr>
          <w:rFonts w:ascii="Times New Roman" w:hAnsi="Times New Roman"/>
          <w:sz w:val="24"/>
          <w:szCs w:val="24"/>
        </w:rPr>
        <w:t xml:space="preserve"> </w:t>
      </w:r>
      <w:proofErr w:type="gramStart"/>
      <w:r w:rsidR="00060005">
        <w:rPr>
          <w:rFonts w:ascii="Times New Roman" w:hAnsi="Times New Roman"/>
          <w:sz w:val="24"/>
          <w:szCs w:val="24"/>
        </w:rPr>
        <w:t>Jangka w</w:t>
      </w:r>
      <w:r w:rsidR="001333C8">
        <w:rPr>
          <w:rFonts w:ascii="Times New Roman" w:hAnsi="Times New Roman"/>
          <w:sz w:val="24"/>
          <w:szCs w:val="24"/>
        </w:rPr>
        <w:t xml:space="preserve">aktu jatuh tempo berpengaruh negatif </w:t>
      </w:r>
      <w:r w:rsidR="00ED7140">
        <w:rPr>
          <w:rFonts w:ascii="Times New Roman" w:hAnsi="Times New Roman"/>
          <w:sz w:val="24"/>
          <w:szCs w:val="24"/>
        </w:rPr>
        <w:t xml:space="preserve">dan signifikan </w:t>
      </w:r>
      <w:r w:rsidR="001333C8">
        <w:rPr>
          <w:rFonts w:ascii="Times New Roman" w:hAnsi="Times New Roman"/>
          <w:sz w:val="24"/>
          <w:szCs w:val="24"/>
        </w:rPr>
        <w:t>terhadap perubahan harga obligasi berperingkat rendah, namun tidak berpengaruh terhadap perubahan harga obligasi berperingkat tinggi.</w:t>
      </w:r>
      <w:proofErr w:type="gramEnd"/>
      <w:r w:rsidR="001333C8">
        <w:rPr>
          <w:rFonts w:ascii="Times New Roman" w:hAnsi="Times New Roman"/>
          <w:sz w:val="24"/>
          <w:szCs w:val="24"/>
        </w:rPr>
        <w:t xml:space="preserve"> </w:t>
      </w:r>
      <w:proofErr w:type="gramStart"/>
      <w:r w:rsidR="00ED7140">
        <w:rPr>
          <w:rFonts w:ascii="Times New Roman" w:hAnsi="Times New Roman"/>
          <w:sz w:val="24"/>
          <w:szCs w:val="24"/>
        </w:rPr>
        <w:t xml:space="preserve">Sedangkan variabel terakhir yang diteliti adalah kupon, dimana ditemukan bahwa kupon tidak berpengaruh terhadap perubahan harga obligasi berperingkat rendah, </w:t>
      </w:r>
      <w:r w:rsidR="00ED7140">
        <w:rPr>
          <w:rFonts w:ascii="Times New Roman" w:hAnsi="Times New Roman"/>
          <w:sz w:val="24"/>
          <w:szCs w:val="24"/>
        </w:rPr>
        <w:lastRenderedPageBreak/>
        <w:t xml:space="preserve">namun </w:t>
      </w:r>
      <w:r w:rsidR="005110FD">
        <w:rPr>
          <w:rFonts w:ascii="Times New Roman" w:hAnsi="Times New Roman"/>
          <w:sz w:val="24"/>
          <w:szCs w:val="24"/>
        </w:rPr>
        <w:t xml:space="preserve">kupon </w:t>
      </w:r>
      <w:r w:rsidR="00ED7140">
        <w:rPr>
          <w:rFonts w:ascii="Times New Roman" w:hAnsi="Times New Roman"/>
          <w:sz w:val="24"/>
          <w:szCs w:val="24"/>
        </w:rPr>
        <w:t xml:space="preserve">berpengaruh positif dan signifikan </w:t>
      </w:r>
      <w:r w:rsidR="005110FD">
        <w:rPr>
          <w:rFonts w:ascii="Times New Roman" w:hAnsi="Times New Roman"/>
          <w:sz w:val="24"/>
          <w:szCs w:val="24"/>
        </w:rPr>
        <w:t>terhadap perubahan harga obligasi berperingkat tinggi.</w:t>
      </w:r>
      <w:proofErr w:type="gramEnd"/>
    </w:p>
    <w:p w:rsidR="005D1DA5" w:rsidRDefault="00B40D94" w:rsidP="005D1DA5">
      <w:pPr>
        <w:pStyle w:val="ListParagraph"/>
        <w:autoSpaceDE w:val="0"/>
        <w:autoSpaceDN w:val="0"/>
        <w:adjustRightInd w:val="0"/>
        <w:spacing w:line="480" w:lineRule="auto"/>
        <w:ind w:left="0" w:firstLine="567"/>
        <w:jc w:val="both"/>
        <w:rPr>
          <w:rFonts w:ascii="Times New Roman" w:hAnsi="Times New Roman"/>
          <w:sz w:val="24"/>
          <w:szCs w:val="24"/>
        </w:rPr>
      </w:pPr>
      <w:proofErr w:type="gramStart"/>
      <w:r>
        <w:rPr>
          <w:rFonts w:ascii="Times New Roman" w:hAnsi="Times New Roman"/>
          <w:sz w:val="24"/>
          <w:szCs w:val="24"/>
        </w:rPr>
        <w:t>Melalui uji koefisien determinasi ditemukan bahwa variasi perubahan harga obligasi peringkat rendah yang paling mampu dijelaskan lebih banyak oleh likuiditas, waktu jatuh tempo dan kupon, karena nilai koefisien determinasi obligasi berperingkat rendah mendekati 1.</w:t>
      </w:r>
      <w:proofErr w:type="gramEnd"/>
    </w:p>
    <w:p w:rsidR="009760B2" w:rsidRDefault="005D1DA5" w:rsidP="009760B2">
      <w:pPr>
        <w:pStyle w:val="ListParagraph"/>
        <w:autoSpaceDE w:val="0"/>
        <w:autoSpaceDN w:val="0"/>
        <w:adjustRightInd w:val="0"/>
        <w:spacing w:line="480" w:lineRule="auto"/>
        <w:ind w:left="0" w:firstLine="567"/>
        <w:jc w:val="both"/>
        <w:rPr>
          <w:rFonts w:ascii="Times New Roman" w:hAnsi="Times New Roman"/>
          <w:bCs/>
          <w:iCs/>
          <w:sz w:val="24"/>
          <w:szCs w:val="24"/>
        </w:rPr>
      </w:pPr>
      <w:proofErr w:type="gramStart"/>
      <w:r w:rsidRPr="005D1DA5">
        <w:rPr>
          <w:rFonts w:ascii="Times New Roman" w:hAnsi="Times New Roman"/>
          <w:bCs/>
          <w:iCs/>
          <w:sz w:val="24"/>
          <w:szCs w:val="24"/>
        </w:rPr>
        <w:t>Dengan merujuk pada hasil dan keterbatasan penelitian ini, maka</w:t>
      </w:r>
      <w:r>
        <w:rPr>
          <w:rFonts w:ascii="Times New Roman" w:hAnsi="Times New Roman"/>
          <w:bCs/>
          <w:iCs/>
          <w:sz w:val="24"/>
          <w:szCs w:val="24"/>
        </w:rPr>
        <w:t xml:space="preserve"> disarankan untuk</w:t>
      </w:r>
      <w:r w:rsidRPr="005D1DA5">
        <w:rPr>
          <w:rFonts w:ascii="Times New Roman" w:hAnsi="Times New Roman"/>
          <w:bCs/>
          <w:iCs/>
          <w:sz w:val="24"/>
          <w:szCs w:val="24"/>
        </w:rPr>
        <w:t xml:space="preserve"> agenda penelitian mendatang </w:t>
      </w:r>
      <w:r>
        <w:rPr>
          <w:rFonts w:ascii="Times New Roman" w:hAnsi="Times New Roman"/>
          <w:bCs/>
          <w:iCs/>
          <w:sz w:val="24"/>
          <w:szCs w:val="24"/>
        </w:rPr>
        <w:t>sebaiknya dilakukan p</w:t>
      </w:r>
      <w:r w:rsidRPr="005D1DA5">
        <w:rPr>
          <w:rFonts w:ascii="Times New Roman" w:hAnsi="Times New Roman"/>
          <w:bCs/>
          <w:iCs/>
          <w:sz w:val="24"/>
          <w:szCs w:val="24"/>
        </w:rPr>
        <w:t xml:space="preserve">enambahan periode dan jumlah sampel </w:t>
      </w:r>
      <w:r>
        <w:rPr>
          <w:rFonts w:ascii="Times New Roman" w:hAnsi="Times New Roman"/>
          <w:bCs/>
          <w:iCs/>
          <w:sz w:val="24"/>
          <w:szCs w:val="24"/>
        </w:rPr>
        <w:t xml:space="preserve">khususnya untuk sampel obligasi berperingkat rendah </w:t>
      </w:r>
      <w:r w:rsidRPr="005D1DA5">
        <w:rPr>
          <w:rFonts w:ascii="Times New Roman" w:hAnsi="Times New Roman"/>
          <w:bCs/>
          <w:iCs/>
          <w:sz w:val="24"/>
          <w:szCs w:val="24"/>
        </w:rPr>
        <w:t>agar hasilnya dapat dengan tepat mewakili kondisi yang terjadi.</w:t>
      </w:r>
      <w:proofErr w:type="gramEnd"/>
      <w:r>
        <w:rPr>
          <w:rFonts w:ascii="Times New Roman" w:hAnsi="Times New Roman"/>
          <w:bCs/>
          <w:iCs/>
          <w:sz w:val="24"/>
          <w:szCs w:val="24"/>
        </w:rPr>
        <w:t xml:space="preserve"> Selain itu, </w:t>
      </w:r>
      <w:r w:rsidRPr="005D1DA5">
        <w:rPr>
          <w:rFonts w:ascii="Times New Roman" w:hAnsi="Times New Roman"/>
          <w:bCs/>
          <w:iCs/>
          <w:sz w:val="24"/>
          <w:szCs w:val="24"/>
        </w:rPr>
        <w:t>Bagi penelitian mendatang dapat menggunakan perbandingan dengan jenis obligasi yang berbeda seperti obligasi Negara</w:t>
      </w:r>
      <w:r>
        <w:rPr>
          <w:rFonts w:ascii="Times New Roman" w:hAnsi="Times New Roman"/>
          <w:bCs/>
          <w:iCs/>
          <w:sz w:val="24"/>
          <w:szCs w:val="24"/>
        </w:rPr>
        <w:t xml:space="preserve"> dan</w:t>
      </w:r>
      <w:r w:rsidRPr="005D1DA5">
        <w:rPr>
          <w:rFonts w:ascii="Times New Roman" w:hAnsi="Times New Roman"/>
          <w:bCs/>
          <w:iCs/>
          <w:sz w:val="24"/>
          <w:szCs w:val="24"/>
        </w:rPr>
        <w:t xml:space="preserve"> menambahkan variabel </w:t>
      </w:r>
      <w:proofErr w:type="gramStart"/>
      <w:r w:rsidRPr="005D1DA5">
        <w:rPr>
          <w:rFonts w:ascii="Times New Roman" w:hAnsi="Times New Roman"/>
          <w:bCs/>
          <w:iCs/>
          <w:sz w:val="24"/>
          <w:szCs w:val="24"/>
        </w:rPr>
        <w:t>lain</w:t>
      </w:r>
      <w:proofErr w:type="gramEnd"/>
      <w:r w:rsidRPr="005D1DA5">
        <w:rPr>
          <w:rFonts w:ascii="Times New Roman" w:hAnsi="Times New Roman"/>
          <w:bCs/>
          <w:iCs/>
          <w:sz w:val="24"/>
          <w:szCs w:val="24"/>
        </w:rPr>
        <w:t xml:space="preserve"> yang dapat mempengaruhi perubahan harga obligasi khususnya faktor eksternal seperti faktor kurs dan pertumbuhan ekonomi.</w:t>
      </w:r>
    </w:p>
    <w:p w:rsidR="005D1DA5" w:rsidRDefault="009760B2" w:rsidP="00B10742">
      <w:pPr>
        <w:pStyle w:val="ListParagraph"/>
        <w:autoSpaceDE w:val="0"/>
        <w:autoSpaceDN w:val="0"/>
        <w:adjustRightInd w:val="0"/>
        <w:spacing w:line="480" w:lineRule="auto"/>
        <w:ind w:left="0" w:firstLine="567"/>
        <w:jc w:val="both"/>
        <w:rPr>
          <w:rFonts w:ascii="Times New Roman" w:hAnsi="Times New Roman"/>
          <w:bCs/>
          <w:iCs/>
          <w:sz w:val="24"/>
          <w:szCs w:val="24"/>
        </w:rPr>
      </w:pPr>
      <w:proofErr w:type="gramStart"/>
      <w:r>
        <w:rPr>
          <w:rFonts w:ascii="Times New Roman" w:hAnsi="Times New Roman"/>
          <w:bCs/>
          <w:iCs/>
          <w:sz w:val="24"/>
          <w:szCs w:val="24"/>
        </w:rPr>
        <w:t>Bagi investor disarankan untuk lebih memperhatikan likuiditas dan kupon obligasi sebelum melakukan investasi pada obligasi berperingkat tinggi dan memperhatikan waktu jatuh tempo obligasi sebelum melakukan investasi pada obligasi berperingkat rendah.</w:t>
      </w:r>
      <w:proofErr w:type="gramEnd"/>
      <w:r w:rsidR="00303726" w:rsidRPr="009760B2">
        <w:rPr>
          <w:rFonts w:ascii="Times New Roman" w:hAnsi="Times New Roman"/>
          <w:bCs/>
          <w:iCs/>
          <w:sz w:val="24"/>
          <w:szCs w:val="24"/>
        </w:rPr>
        <w:t xml:space="preserve"> </w:t>
      </w:r>
    </w:p>
    <w:p w:rsidR="00B10742" w:rsidRDefault="00B10742" w:rsidP="00B72F5E">
      <w:pPr>
        <w:autoSpaceDE w:val="0"/>
        <w:autoSpaceDN w:val="0"/>
        <w:adjustRightInd w:val="0"/>
        <w:spacing w:line="480" w:lineRule="auto"/>
        <w:jc w:val="both"/>
        <w:rPr>
          <w:bCs/>
          <w:iCs/>
        </w:rPr>
      </w:pPr>
    </w:p>
    <w:p w:rsidR="00000465" w:rsidRDefault="00000465" w:rsidP="00B72F5E">
      <w:pPr>
        <w:autoSpaceDE w:val="0"/>
        <w:autoSpaceDN w:val="0"/>
        <w:adjustRightInd w:val="0"/>
        <w:spacing w:line="480" w:lineRule="auto"/>
        <w:jc w:val="both"/>
        <w:rPr>
          <w:bCs/>
          <w:iCs/>
        </w:rPr>
      </w:pPr>
    </w:p>
    <w:p w:rsidR="00000465" w:rsidRPr="00B72F5E" w:rsidRDefault="00000465" w:rsidP="00B72F5E">
      <w:pPr>
        <w:autoSpaceDE w:val="0"/>
        <w:autoSpaceDN w:val="0"/>
        <w:adjustRightInd w:val="0"/>
        <w:spacing w:line="480" w:lineRule="auto"/>
        <w:jc w:val="both"/>
        <w:rPr>
          <w:bCs/>
          <w:iCs/>
        </w:rPr>
      </w:pPr>
    </w:p>
    <w:p w:rsidR="00342DBA" w:rsidRPr="00017A5A" w:rsidRDefault="00065ABC" w:rsidP="00017A5A">
      <w:pPr>
        <w:pStyle w:val="ListParagraph"/>
        <w:autoSpaceDE w:val="0"/>
        <w:autoSpaceDN w:val="0"/>
        <w:adjustRightInd w:val="0"/>
        <w:spacing w:line="480" w:lineRule="auto"/>
        <w:ind w:left="0" w:firstLine="567"/>
        <w:jc w:val="center"/>
        <w:rPr>
          <w:rFonts w:ascii="Times New Roman" w:hAnsi="Times New Roman"/>
          <w:b/>
          <w:sz w:val="24"/>
          <w:szCs w:val="24"/>
        </w:rPr>
      </w:pPr>
      <w:r>
        <w:rPr>
          <w:rFonts w:ascii="Times New Roman" w:hAnsi="Times New Roman"/>
          <w:b/>
          <w:sz w:val="24"/>
          <w:szCs w:val="24"/>
        </w:rPr>
        <w:t>REFERENSI</w:t>
      </w:r>
    </w:p>
    <w:p w:rsidR="00FE1740" w:rsidRDefault="00FE1740" w:rsidP="00FE1740">
      <w:pPr>
        <w:autoSpaceDE w:val="0"/>
        <w:autoSpaceDN w:val="0"/>
        <w:adjustRightInd w:val="0"/>
        <w:ind w:left="720" w:hanging="720"/>
        <w:jc w:val="both"/>
      </w:pPr>
      <w:proofErr w:type="gramStart"/>
      <w:r>
        <w:lastRenderedPageBreak/>
        <w:t>Achmad, N. dan Greace Setiawan.</w:t>
      </w:r>
      <w:proofErr w:type="gramEnd"/>
      <w:r>
        <w:t xml:space="preserve"> </w:t>
      </w:r>
      <w:proofErr w:type="gramStart"/>
      <w:r>
        <w:t>2007. Pengaruh Rating dan Kupon Terhadap Harga Obligasi (Studi Kasus Obligasi Kriterian Investasi Yang Terdaftar di Bursa Efek Surabaya Tahun 2002-2006).</w:t>
      </w:r>
      <w:proofErr w:type="gramEnd"/>
      <w:r>
        <w:t xml:space="preserve"> </w:t>
      </w:r>
      <w:r w:rsidRPr="007854BC">
        <w:rPr>
          <w:i/>
        </w:rPr>
        <w:t>Jurnal Ilmiah Ranggagading</w:t>
      </w:r>
      <w:r>
        <w:t xml:space="preserve">, Vol. 7, No. 2, pp: 101-110. </w:t>
      </w:r>
    </w:p>
    <w:p w:rsidR="00FE1740" w:rsidRDefault="00FE1740" w:rsidP="00FE1740">
      <w:pPr>
        <w:autoSpaceDE w:val="0"/>
        <w:autoSpaceDN w:val="0"/>
        <w:adjustRightInd w:val="0"/>
        <w:ind w:left="720" w:hanging="720"/>
        <w:jc w:val="both"/>
      </w:pPr>
    </w:p>
    <w:p w:rsidR="00FE1740" w:rsidRDefault="00FE1740" w:rsidP="00FE1740">
      <w:pPr>
        <w:autoSpaceDE w:val="0"/>
        <w:autoSpaceDN w:val="0"/>
        <w:adjustRightInd w:val="0"/>
        <w:ind w:left="720" w:hanging="720"/>
        <w:jc w:val="both"/>
      </w:pPr>
      <w:r w:rsidRPr="001663D6">
        <w:t xml:space="preserve">Bao, Pan, dan Wang. 2009. Liquidity of Corporate Bonds. </w:t>
      </w:r>
      <w:proofErr w:type="gramStart"/>
      <w:r w:rsidRPr="001663D6">
        <w:rPr>
          <w:i/>
        </w:rPr>
        <w:t>Journal of MIT Sloan School Management</w:t>
      </w:r>
      <w:r w:rsidRPr="001663D6">
        <w:t>.</w:t>
      </w:r>
      <w:proofErr w:type="gramEnd"/>
    </w:p>
    <w:p w:rsidR="00FE1740" w:rsidRDefault="00FE1740" w:rsidP="00342DBA">
      <w:pPr>
        <w:autoSpaceDE w:val="0"/>
        <w:autoSpaceDN w:val="0"/>
        <w:adjustRightInd w:val="0"/>
        <w:ind w:left="720" w:hanging="720"/>
        <w:jc w:val="both"/>
      </w:pPr>
    </w:p>
    <w:p w:rsidR="00342DBA" w:rsidRDefault="00342DBA" w:rsidP="00342DBA">
      <w:pPr>
        <w:autoSpaceDE w:val="0"/>
        <w:autoSpaceDN w:val="0"/>
        <w:adjustRightInd w:val="0"/>
        <w:ind w:left="720" w:hanging="720"/>
        <w:jc w:val="both"/>
      </w:pPr>
      <w:r>
        <w:t xml:space="preserve">Bodie, Kane, dan Marcus. 2009. </w:t>
      </w:r>
      <w:r w:rsidRPr="00912A18">
        <w:rPr>
          <w:i/>
        </w:rPr>
        <w:t>Investments</w:t>
      </w:r>
      <w:r>
        <w:t>. Buku Dua. Edisi Enam. Jakarta: Salemba Empat.</w:t>
      </w:r>
    </w:p>
    <w:p w:rsidR="00342DBA" w:rsidRDefault="00342DBA" w:rsidP="00342DBA">
      <w:pPr>
        <w:autoSpaceDE w:val="0"/>
        <w:autoSpaceDN w:val="0"/>
        <w:adjustRightInd w:val="0"/>
        <w:ind w:left="720" w:hanging="720"/>
        <w:jc w:val="both"/>
      </w:pPr>
    </w:p>
    <w:p w:rsidR="003A1E7C" w:rsidRDefault="003A1E7C" w:rsidP="003A1E7C">
      <w:pPr>
        <w:autoSpaceDE w:val="0"/>
        <w:autoSpaceDN w:val="0"/>
        <w:adjustRightInd w:val="0"/>
        <w:ind w:left="720" w:hanging="720"/>
        <w:jc w:val="both"/>
      </w:pPr>
      <w:r w:rsidRPr="005B5F8D">
        <w:t xml:space="preserve">Chen, Lesmond, dan Wei. 2007. Corporate Yield Spreads and Bond Liquidity. </w:t>
      </w:r>
      <w:r w:rsidRPr="005B5F8D">
        <w:rPr>
          <w:i/>
        </w:rPr>
        <w:t>Journal of Finance</w:t>
      </w:r>
      <w:r w:rsidRPr="005B5F8D">
        <w:t>, Vol. LXII, No. 1, pp: 119-149.</w:t>
      </w:r>
    </w:p>
    <w:p w:rsidR="003A1E7C" w:rsidRDefault="003A1E7C" w:rsidP="003A1E7C">
      <w:pPr>
        <w:autoSpaceDE w:val="0"/>
        <w:autoSpaceDN w:val="0"/>
        <w:adjustRightInd w:val="0"/>
        <w:ind w:left="720" w:hanging="720"/>
        <w:jc w:val="both"/>
      </w:pPr>
    </w:p>
    <w:p w:rsidR="003A1E7C" w:rsidRDefault="003A1E7C" w:rsidP="003A1E7C">
      <w:pPr>
        <w:autoSpaceDE w:val="0"/>
        <w:autoSpaceDN w:val="0"/>
        <w:adjustRightInd w:val="0"/>
        <w:ind w:left="720" w:hanging="720"/>
        <w:jc w:val="both"/>
      </w:pPr>
      <w:r w:rsidRPr="001663D6">
        <w:t xml:space="preserve">Driessen, Joost. 2002. Is Default Event Risk Priced in Corporate </w:t>
      </w:r>
      <w:proofErr w:type="gramStart"/>
      <w:r w:rsidRPr="001663D6">
        <w:t>Bonds.</w:t>
      </w:r>
      <w:proofErr w:type="gramEnd"/>
      <w:r w:rsidRPr="001663D6">
        <w:t xml:space="preserve"> </w:t>
      </w:r>
      <w:proofErr w:type="gramStart"/>
      <w:r w:rsidRPr="001663D6">
        <w:rPr>
          <w:i/>
        </w:rPr>
        <w:t>Journal of Finance Faculty of Economics and Econometrics, University of Amsterdam</w:t>
      </w:r>
      <w:r w:rsidRPr="001663D6">
        <w:t>.</w:t>
      </w:r>
      <w:proofErr w:type="gramEnd"/>
    </w:p>
    <w:p w:rsidR="003A1E7C" w:rsidRDefault="003A1E7C" w:rsidP="00342DBA">
      <w:pPr>
        <w:autoSpaceDE w:val="0"/>
        <w:autoSpaceDN w:val="0"/>
        <w:adjustRightInd w:val="0"/>
        <w:ind w:left="720" w:hanging="720"/>
        <w:jc w:val="both"/>
      </w:pPr>
    </w:p>
    <w:p w:rsidR="00342DBA" w:rsidRDefault="00342DBA" w:rsidP="00342DBA">
      <w:pPr>
        <w:autoSpaceDE w:val="0"/>
        <w:autoSpaceDN w:val="0"/>
        <w:adjustRightInd w:val="0"/>
        <w:ind w:left="720" w:hanging="720"/>
        <w:jc w:val="both"/>
        <w:rPr>
          <w:bCs/>
        </w:rPr>
      </w:pPr>
      <w:r>
        <w:t xml:space="preserve">Edward. </w:t>
      </w:r>
      <w:proofErr w:type="gramStart"/>
      <w:r>
        <w:t>2007. Analisis Faktor-Faktor yang Berpengaruh Terhadap Perubahan Harga Obligasi (Studi Pada Kelompok Perusahaan Sektor Industri).</w:t>
      </w:r>
      <w:proofErr w:type="gramEnd"/>
      <w:r>
        <w:t xml:space="preserve"> </w:t>
      </w:r>
      <w:r w:rsidRPr="00F57FF6">
        <w:rPr>
          <w:bCs/>
          <w:i/>
        </w:rPr>
        <w:t>Tesis</w:t>
      </w:r>
      <w:r w:rsidRPr="00F57FF6">
        <w:rPr>
          <w:bCs/>
        </w:rPr>
        <w:t xml:space="preserve"> Magister Manajemen Pascasarjana</w:t>
      </w:r>
      <w:r>
        <w:t xml:space="preserve"> </w:t>
      </w:r>
      <w:r w:rsidRPr="00F57FF6">
        <w:rPr>
          <w:bCs/>
        </w:rPr>
        <w:t>Universitas Diponegoro</w:t>
      </w:r>
      <w:r>
        <w:rPr>
          <w:bCs/>
        </w:rPr>
        <w:t>, Semarang.</w:t>
      </w:r>
    </w:p>
    <w:p w:rsidR="009D3C40" w:rsidRDefault="009D3C40" w:rsidP="00342DBA">
      <w:pPr>
        <w:autoSpaceDE w:val="0"/>
        <w:autoSpaceDN w:val="0"/>
        <w:adjustRightInd w:val="0"/>
        <w:ind w:left="720" w:hanging="720"/>
        <w:jc w:val="both"/>
        <w:rPr>
          <w:bCs/>
        </w:rPr>
      </w:pPr>
    </w:p>
    <w:p w:rsidR="009D3C40" w:rsidRPr="00585229" w:rsidRDefault="009D3C40" w:rsidP="009D3C40">
      <w:pPr>
        <w:autoSpaceDE w:val="0"/>
        <w:autoSpaceDN w:val="0"/>
        <w:adjustRightInd w:val="0"/>
        <w:ind w:left="720" w:hanging="720"/>
        <w:jc w:val="both"/>
        <w:rPr>
          <w:bCs/>
        </w:rPr>
      </w:pPr>
      <w:proofErr w:type="gramStart"/>
      <w:r w:rsidRPr="00585229">
        <w:rPr>
          <w:bCs/>
        </w:rPr>
        <w:t>Ericsson, dan Renault.</w:t>
      </w:r>
      <w:proofErr w:type="gramEnd"/>
      <w:r w:rsidRPr="00585229">
        <w:rPr>
          <w:bCs/>
        </w:rPr>
        <w:t xml:space="preserve"> 2006. Liquidity and Credit Risk. </w:t>
      </w:r>
      <w:r w:rsidRPr="00585229">
        <w:rPr>
          <w:bCs/>
          <w:i/>
        </w:rPr>
        <w:t>Journal of Finance</w:t>
      </w:r>
      <w:r w:rsidRPr="00585229">
        <w:rPr>
          <w:bCs/>
        </w:rPr>
        <w:t>, Vol. LXI, No. 5, pp: 2219-2250.</w:t>
      </w:r>
    </w:p>
    <w:p w:rsidR="009D3C40" w:rsidRDefault="009D3C40" w:rsidP="009D3C40">
      <w:pPr>
        <w:autoSpaceDE w:val="0"/>
        <w:autoSpaceDN w:val="0"/>
        <w:adjustRightInd w:val="0"/>
        <w:ind w:left="720" w:hanging="720"/>
        <w:jc w:val="both"/>
      </w:pPr>
    </w:p>
    <w:p w:rsidR="009D3C40" w:rsidRPr="009D3C40" w:rsidRDefault="009D3C40" w:rsidP="009D3C40">
      <w:pPr>
        <w:autoSpaceDE w:val="0"/>
        <w:autoSpaceDN w:val="0"/>
        <w:adjustRightInd w:val="0"/>
        <w:ind w:left="720" w:hanging="720"/>
        <w:jc w:val="both"/>
      </w:pPr>
      <w:proofErr w:type="gramStart"/>
      <w:r>
        <w:t>Ericsson dan Reneby.</w:t>
      </w:r>
      <w:proofErr w:type="gramEnd"/>
      <w:r>
        <w:t xml:space="preserve"> 2001. Estimating Structural Bond Pricing Models. </w:t>
      </w:r>
      <w:r w:rsidRPr="000C4023">
        <w:rPr>
          <w:i/>
        </w:rPr>
        <w:t>Journal of Finance</w:t>
      </w:r>
      <w:r>
        <w:t>, pp: 1-69.</w:t>
      </w:r>
    </w:p>
    <w:p w:rsidR="00342DBA" w:rsidRDefault="00342DBA" w:rsidP="00342DBA">
      <w:pPr>
        <w:autoSpaceDE w:val="0"/>
        <w:autoSpaceDN w:val="0"/>
        <w:adjustRightInd w:val="0"/>
        <w:jc w:val="both"/>
      </w:pPr>
    </w:p>
    <w:p w:rsidR="00342DBA" w:rsidRDefault="00342DBA" w:rsidP="00342DBA">
      <w:pPr>
        <w:autoSpaceDE w:val="0"/>
        <w:autoSpaceDN w:val="0"/>
        <w:adjustRightInd w:val="0"/>
        <w:jc w:val="both"/>
      </w:pPr>
      <w:r>
        <w:t xml:space="preserve">Fabozzi, J. Frank. 2000. </w:t>
      </w:r>
      <w:r w:rsidRPr="00EB4835">
        <w:rPr>
          <w:i/>
        </w:rPr>
        <w:t>Manajemen Investasi</w:t>
      </w:r>
      <w:r>
        <w:t>.</w:t>
      </w:r>
      <w:r w:rsidRPr="00EB4835">
        <w:rPr>
          <w:i/>
        </w:rPr>
        <w:t xml:space="preserve"> </w:t>
      </w:r>
      <w:proofErr w:type="gramStart"/>
      <w:r w:rsidRPr="00E677B5">
        <w:t>Buku 2.</w:t>
      </w:r>
      <w:proofErr w:type="gramEnd"/>
      <w:r>
        <w:t xml:space="preserve"> Jakarta: Salemba Empat.</w:t>
      </w:r>
    </w:p>
    <w:p w:rsidR="00342DBA" w:rsidRDefault="00342DBA" w:rsidP="00342DBA">
      <w:pPr>
        <w:autoSpaceDE w:val="0"/>
        <w:autoSpaceDN w:val="0"/>
        <w:adjustRightInd w:val="0"/>
        <w:jc w:val="both"/>
      </w:pPr>
    </w:p>
    <w:p w:rsidR="00F81545" w:rsidRDefault="00F81545" w:rsidP="00F81545">
      <w:pPr>
        <w:ind w:left="720" w:hanging="720"/>
        <w:jc w:val="both"/>
      </w:pPr>
      <w:r w:rsidRPr="0078441B">
        <w:t xml:space="preserve">Favero, Pagano, dan Thadden. 2008. How Does Liquidity Affect Government Bond </w:t>
      </w:r>
      <w:proofErr w:type="gramStart"/>
      <w:r w:rsidRPr="0078441B">
        <w:t>Yields.</w:t>
      </w:r>
      <w:proofErr w:type="gramEnd"/>
      <w:r w:rsidRPr="0078441B">
        <w:t xml:space="preserve"> </w:t>
      </w:r>
      <w:r w:rsidRPr="0078441B">
        <w:rPr>
          <w:i/>
        </w:rPr>
        <w:t>Journal of Financial and Quantitative Analysis</w:t>
      </w:r>
      <w:r>
        <w:t>, Vol. 45, pp: 107-134.</w:t>
      </w:r>
    </w:p>
    <w:p w:rsidR="002660F7" w:rsidRDefault="002660F7" w:rsidP="00F81545">
      <w:pPr>
        <w:ind w:left="720" w:hanging="720"/>
        <w:jc w:val="both"/>
        <w:rPr>
          <w:rFonts w:eastAsia="Arial Unicode MS"/>
        </w:rPr>
      </w:pPr>
    </w:p>
    <w:p w:rsidR="00F81545" w:rsidRPr="002660F7" w:rsidRDefault="002660F7" w:rsidP="002660F7">
      <w:pPr>
        <w:autoSpaceDE w:val="0"/>
        <w:autoSpaceDN w:val="0"/>
        <w:adjustRightInd w:val="0"/>
        <w:ind w:left="720" w:hanging="720"/>
        <w:jc w:val="both"/>
      </w:pPr>
      <w:r>
        <w:t xml:space="preserve">Heath, Jarrow, dan Morton. 1992. Bond Pricing and the Term Structure of Interest Rates: A New Methodology for Contingent Claims Valuation. </w:t>
      </w:r>
      <w:r w:rsidRPr="00752B4C">
        <w:rPr>
          <w:i/>
        </w:rPr>
        <w:t>Journal of Econometrica</w:t>
      </w:r>
      <w:r>
        <w:t>, Vol. 60, pp: 77-105.</w:t>
      </w:r>
    </w:p>
    <w:p w:rsidR="002660F7" w:rsidRPr="008D52CE" w:rsidRDefault="002660F7" w:rsidP="002660F7">
      <w:pPr>
        <w:autoSpaceDE w:val="0"/>
        <w:autoSpaceDN w:val="0"/>
        <w:adjustRightInd w:val="0"/>
        <w:ind w:left="720" w:hanging="720"/>
        <w:jc w:val="both"/>
        <w:rPr>
          <w:bCs/>
        </w:rPr>
      </w:pPr>
      <w:r w:rsidRPr="008D52CE">
        <w:rPr>
          <w:bCs/>
        </w:rPr>
        <w:t xml:space="preserve">Idris, Akmal. </w:t>
      </w:r>
      <w:proofErr w:type="gramStart"/>
      <w:r w:rsidRPr="008D52CE">
        <w:rPr>
          <w:bCs/>
        </w:rPr>
        <w:t>2009. Penentuan Harga Obligasi Untuk Beberapa Nilai Parameter.</w:t>
      </w:r>
      <w:proofErr w:type="gramEnd"/>
      <w:r w:rsidRPr="008D52CE">
        <w:rPr>
          <w:bCs/>
        </w:rPr>
        <w:t xml:space="preserve"> </w:t>
      </w:r>
      <w:r w:rsidRPr="008D52CE">
        <w:rPr>
          <w:bCs/>
          <w:i/>
        </w:rPr>
        <w:t>Jurnal Departemen Matematika Fakultas Matematika dan Ilmu Pengetahuan Alam Institut Pertanian Bogor, Jawa Barat</w:t>
      </w:r>
      <w:r w:rsidRPr="008D52CE">
        <w:rPr>
          <w:bCs/>
        </w:rPr>
        <w:t>.</w:t>
      </w:r>
    </w:p>
    <w:p w:rsidR="002660F7" w:rsidRDefault="002660F7" w:rsidP="00342DBA">
      <w:pPr>
        <w:autoSpaceDE w:val="0"/>
        <w:autoSpaceDN w:val="0"/>
        <w:adjustRightInd w:val="0"/>
        <w:ind w:left="720" w:hanging="720"/>
        <w:jc w:val="both"/>
      </w:pPr>
    </w:p>
    <w:p w:rsidR="00C15AF8" w:rsidRPr="00B94E04" w:rsidRDefault="00C15AF8" w:rsidP="00C15AF8">
      <w:pPr>
        <w:autoSpaceDE w:val="0"/>
        <w:autoSpaceDN w:val="0"/>
        <w:adjustRightInd w:val="0"/>
        <w:ind w:left="720" w:hanging="720"/>
        <w:jc w:val="both"/>
      </w:pPr>
      <w:r>
        <w:t xml:space="preserve">Juhartono, Imam. </w:t>
      </w:r>
      <w:proofErr w:type="gramStart"/>
      <w:r>
        <w:t xml:space="preserve">2010. </w:t>
      </w:r>
      <w:r w:rsidRPr="00B94E04">
        <w:t>Analisa Faktor-Faktor yang Mempengaruhi Harga Obligasi Korporasi di Indonesia</w:t>
      </w:r>
      <w:r>
        <w:t>.</w:t>
      </w:r>
      <w:proofErr w:type="gramEnd"/>
      <w:r>
        <w:t xml:space="preserve"> </w:t>
      </w:r>
      <w:proofErr w:type="gramStart"/>
      <w:r w:rsidRPr="00B94E04">
        <w:rPr>
          <w:i/>
        </w:rPr>
        <w:t xml:space="preserve">Tesis </w:t>
      </w:r>
      <w:r>
        <w:t>Magister Manajemen Fakultas Ekonomi Universitas Indonesia.</w:t>
      </w:r>
      <w:proofErr w:type="gramEnd"/>
      <w:r>
        <w:t xml:space="preserve"> </w:t>
      </w:r>
    </w:p>
    <w:p w:rsidR="00C15AF8" w:rsidRDefault="00C15AF8" w:rsidP="00C15AF8">
      <w:pPr>
        <w:autoSpaceDE w:val="0"/>
        <w:autoSpaceDN w:val="0"/>
        <w:adjustRightInd w:val="0"/>
        <w:ind w:left="720" w:hanging="720"/>
        <w:jc w:val="both"/>
      </w:pPr>
    </w:p>
    <w:p w:rsidR="00C15AF8" w:rsidRDefault="00C15AF8" w:rsidP="00C15AF8">
      <w:pPr>
        <w:autoSpaceDE w:val="0"/>
        <w:autoSpaceDN w:val="0"/>
        <w:adjustRightInd w:val="0"/>
        <w:ind w:left="720" w:hanging="720"/>
        <w:jc w:val="both"/>
      </w:pPr>
      <w:proofErr w:type="gramStart"/>
      <w:r>
        <w:lastRenderedPageBreak/>
        <w:t>Kempf,</w:t>
      </w:r>
      <w:proofErr w:type="gramEnd"/>
      <w:r>
        <w:t xml:space="preserve"> Marlises Uhrig. 2000. Liquidity and Its Impact on Bond Prices. </w:t>
      </w:r>
      <w:r w:rsidRPr="00752B4C">
        <w:rPr>
          <w:i/>
        </w:rPr>
        <w:t>Journal of Schmalenbach Business</w:t>
      </w:r>
      <w:r>
        <w:t>, Vol. 5, No. 1, pp: 26-44.</w:t>
      </w:r>
    </w:p>
    <w:p w:rsidR="00C15AF8" w:rsidRDefault="00C15AF8" w:rsidP="00C15AF8">
      <w:pPr>
        <w:autoSpaceDE w:val="0"/>
        <w:autoSpaceDN w:val="0"/>
        <w:adjustRightInd w:val="0"/>
        <w:ind w:left="720" w:hanging="720"/>
        <w:jc w:val="both"/>
      </w:pPr>
    </w:p>
    <w:p w:rsidR="00342DBA" w:rsidRDefault="00342DBA" w:rsidP="00342DBA">
      <w:pPr>
        <w:autoSpaceDE w:val="0"/>
        <w:autoSpaceDN w:val="0"/>
        <w:adjustRightInd w:val="0"/>
        <w:ind w:left="720" w:hanging="720"/>
        <w:jc w:val="both"/>
        <w:rPr>
          <w:bCs/>
        </w:rPr>
      </w:pPr>
      <w:r w:rsidRPr="00F57FF6">
        <w:t xml:space="preserve">Krisnilasari, Monica. 2007. </w:t>
      </w:r>
      <w:r w:rsidRPr="00F57FF6">
        <w:rPr>
          <w:bCs/>
        </w:rPr>
        <w:t xml:space="preserve">Analisis Pengaruh Likuiditas Obligasi, </w:t>
      </w:r>
      <w:r w:rsidRPr="00F57FF6">
        <w:rPr>
          <w:bCs/>
          <w:i/>
        </w:rPr>
        <w:t>Coupon</w:t>
      </w:r>
      <w:r w:rsidRPr="00F57FF6">
        <w:rPr>
          <w:bCs/>
        </w:rPr>
        <w:t xml:space="preserve"> dan Jangka Waktu Jatuh Tempo Obligasi Terhadap Perubahan Harga Obligasi di Bursa Efek Surabaya. </w:t>
      </w:r>
      <w:r w:rsidRPr="00F57FF6">
        <w:rPr>
          <w:bCs/>
          <w:i/>
        </w:rPr>
        <w:t>Tesis</w:t>
      </w:r>
      <w:r w:rsidRPr="00F57FF6">
        <w:rPr>
          <w:bCs/>
        </w:rPr>
        <w:t xml:space="preserve"> Magister Manajemen Pascasarjana</w:t>
      </w:r>
      <w:r>
        <w:t xml:space="preserve"> </w:t>
      </w:r>
      <w:r w:rsidRPr="00F57FF6">
        <w:rPr>
          <w:bCs/>
        </w:rPr>
        <w:t>Universitas Diponegoro</w:t>
      </w:r>
      <w:r>
        <w:rPr>
          <w:bCs/>
        </w:rPr>
        <w:t>, Semarang.</w:t>
      </w:r>
    </w:p>
    <w:p w:rsidR="00DB0C37" w:rsidRDefault="00DB0C37" w:rsidP="00342DBA">
      <w:pPr>
        <w:autoSpaceDE w:val="0"/>
        <w:autoSpaceDN w:val="0"/>
        <w:adjustRightInd w:val="0"/>
        <w:ind w:left="720" w:hanging="720"/>
        <w:jc w:val="both"/>
        <w:rPr>
          <w:bCs/>
        </w:rPr>
      </w:pPr>
    </w:p>
    <w:p w:rsidR="00DB0C37" w:rsidRDefault="00DB0C37" w:rsidP="00DB0C37">
      <w:pPr>
        <w:autoSpaceDE w:val="0"/>
        <w:autoSpaceDN w:val="0"/>
        <w:adjustRightInd w:val="0"/>
        <w:ind w:left="720" w:hanging="720"/>
        <w:jc w:val="both"/>
        <w:rPr>
          <w:bCs/>
        </w:rPr>
      </w:pPr>
      <w:r>
        <w:rPr>
          <w:bCs/>
        </w:rPr>
        <w:t xml:space="preserve">Kusuma, Hadri. </w:t>
      </w:r>
      <w:proofErr w:type="gramStart"/>
      <w:r>
        <w:rPr>
          <w:bCs/>
        </w:rPr>
        <w:t>2005. Pengaruh Durasi dan Konveksitas Terhadap Sensitivitas Harga Obligasi.</w:t>
      </w:r>
      <w:proofErr w:type="gramEnd"/>
      <w:r>
        <w:rPr>
          <w:bCs/>
        </w:rPr>
        <w:t xml:space="preserve"> </w:t>
      </w:r>
      <w:r w:rsidRPr="007854BC">
        <w:rPr>
          <w:bCs/>
          <w:i/>
        </w:rPr>
        <w:t>Jurnal Fakultas Ekonomi Universitas Islam Indonesia</w:t>
      </w:r>
      <w:r>
        <w:rPr>
          <w:bCs/>
        </w:rPr>
        <w:t>, Vol. 7, No. 2, pp: 35-52.</w:t>
      </w:r>
    </w:p>
    <w:p w:rsidR="00342DBA" w:rsidRDefault="00342DBA" w:rsidP="00342DBA">
      <w:pPr>
        <w:autoSpaceDE w:val="0"/>
        <w:autoSpaceDN w:val="0"/>
        <w:adjustRightInd w:val="0"/>
        <w:jc w:val="both"/>
      </w:pPr>
    </w:p>
    <w:p w:rsidR="00DB0C37" w:rsidRPr="001F5BD4" w:rsidRDefault="00DB0C37" w:rsidP="00DB0C37">
      <w:pPr>
        <w:autoSpaceDE w:val="0"/>
        <w:autoSpaceDN w:val="0"/>
        <w:adjustRightInd w:val="0"/>
        <w:ind w:left="720" w:hanging="720"/>
        <w:jc w:val="both"/>
        <w:rPr>
          <w:bCs/>
        </w:rPr>
      </w:pPr>
      <w:r>
        <w:rPr>
          <w:bCs/>
        </w:rPr>
        <w:t xml:space="preserve">Longstaff, Francis A. 2001. </w:t>
      </w:r>
      <w:r>
        <w:t xml:space="preserve">The Flight to </w:t>
      </w:r>
      <w:r w:rsidRPr="001F5BD4">
        <w:t xml:space="preserve">Liquidity Premium in U.S. Treasury </w:t>
      </w:r>
      <w:proofErr w:type="gramStart"/>
      <w:r w:rsidRPr="001F5BD4">
        <w:t>Bond</w:t>
      </w:r>
      <w:proofErr w:type="gramEnd"/>
      <w:r w:rsidRPr="001F5BD4">
        <w:t xml:space="preserve"> Prices</w:t>
      </w:r>
      <w:r>
        <w:t xml:space="preserve">. </w:t>
      </w:r>
      <w:r w:rsidRPr="001F5BD4">
        <w:rPr>
          <w:i/>
        </w:rPr>
        <w:t>Journal of Finance Mangement</w:t>
      </w:r>
      <w:r>
        <w:t>, pp: 1-10.</w:t>
      </w:r>
    </w:p>
    <w:p w:rsidR="00DB0C37" w:rsidRDefault="00DB0C37" w:rsidP="00342DBA">
      <w:pPr>
        <w:autoSpaceDE w:val="0"/>
        <w:autoSpaceDN w:val="0"/>
        <w:adjustRightInd w:val="0"/>
        <w:ind w:left="720" w:hanging="720"/>
        <w:jc w:val="both"/>
      </w:pPr>
    </w:p>
    <w:p w:rsidR="00DB0C37" w:rsidRPr="00DB0C37" w:rsidRDefault="00DB0C37" w:rsidP="00DB0C37">
      <w:pPr>
        <w:autoSpaceDE w:val="0"/>
        <w:autoSpaceDN w:val="0"/>
        <w:adjustRightInd w:val="0"/>
        <w:ind w:left="720" w:hanging="720"/>
        <w:jc w:val="both"/>
        <w:rPr>
          <w:bCs/>
        </w:rPr>
      </w:pPr>
      <w:proofErr w:type="gramStart"/>
      <w:r>
        <w:rPr>
          <w:bCs/>
        </w:rPr>
        <w:t>Lwabona.</w:t>
      </w:r>
      <w:proofErr w:type="gramEnd"/>
      <w:r>
        <w:rPr>
          <w:bCs/>
        </w:rPr>
        <w:t xml:space="preserve"> 1999. Investments Basics XL: Bond Price Volatility. </w:t>
      </w:r>
      <w:r w:rsidRPr="00B8554D">
        <w:rPr>
          <w:bCs/>
          <w:i/>
        </w:rPr>
        <w:t>Investments Analysis Journal</w:t>
      </w:r>
      <w:r>
        <w:rPr>
          <w:bCs/>
        </w:rPr>
        <w:t>, No. 50, pp: 65-69.</w:t>
      </w:r>
    </w:p>
    <w:p w:rsidR="00DB0C37" w:rsidRDefault="00DB0C37" w:rsidP="00342DBA">
      <w:pPr>
        <w:autoSpaceDE w:val="0"/>
        <w:autoSpaceDN w:val="0"/>
        <w:adjustRightInd w:val="0"/>
        <w:ind w:left="720" w:hanging="720"/>
        <w:jc w:val="both"/>
      </w:pPr>
    </w:p>
    <w:p w:rsidR="009D6E57" w:rsidRPr="004C4A6C" w:rsidRDefault="009D6E57" w:rsidP="009D6E57">
      <w:pPr>
        <w:autoSpaceDE w:val="0"/>
        <w:autoSpaceDN w:val="0"/>
        <w:adjustRightInd w:val="0"/>
        <w:ind w:left="720" w:hanging="720"/>
        <w:jc w:val="both"/>
      </w:pPr>
      <w:r>
        <w:t xml:space="preserve">Mardika Ekawati, Eirene. 2008. Pengaruh Kupon Obligasi, Maturitas Obligasi dan Yield Obligasi Terhadap Harga Obligasi Pemerintah Seri Fixed Rate (FR) Periode 2005-2007. </w:t>
      </w:r>
      <w:proofErr w:type="gramStart"/>
      <w:r w:rsidRPr="004C4A6C">
        <w:rPr>
          <w:i/>
        </w:rPr>
        <w:t>Skripsi</w:t>
      </w:r>
      <w:r>
        <w:t xml:space="preserve"> Jurusan Manajemen Konsentrasi Manajemen Keuangan Universitas Negeri Malang.</w:t>
      </w:r>
      <w:proofErr w:type="gramEnd"/>
    </w:p>
    <w:p w:rsidR="009D6E57" w:rsidRDefault="009D6E57" w:rsidP="009D6E57">
      <w:pPr>
        <w:autoSpaceDE w:val="0"/>
        <w:autoSpaceDN w:val="0"/>
        <w:adjustRightInd w:val="0"/>
        <w:ind w:left="720" w:hanging="720"/>
        <w:jc w:val="both"/>
        <w:rPr>
          <w:bCs/>
        </w:rPr>
      </w:pPr>
    </w:p>
    <w:p w:rsidR="009D6E57" w:rsidRDefault="009D6E57" w:rsidP="009D6E57">
      <w:pPr>
        <w:autoSpaceDE w:val="0"/>
        <w:autoSpaceDN w:val="0"/>
        <w:adjustRightInd w:val="0"/>
        <w:ind w:left="720" w:hanging="720"/>
        <w:jc w:val="both"/>
        <w:rPr>
          <w:bCs/>
        </w:rPr>
      </w:pPr>
      <w:proofErr w:type="gramStart"/>
      <w:r>
        <w:rPr>
          <w:bCs/>
        </w:rPr>
        <w:t>Nurfauziah, dan Setyarini.</w:t>
      </w:r>
      <w:proofErr w:type="gramEnd"/>
      <w:r>
        <w:rPr>
          <w:bCs/>
        </w:rPr>
        <w:t xml:space="preserve"> 2004. Analisis Faktor-Faktor Yang Mempengaruhi Yield Obligasi Perusahaan (Studi Kasus Pada Industri Perbankan dan Industri Finansial). </w:t>
      </w:r>
      <w:r w:rsidRPr="008D52CE">
        <w:rPr>
          <w:bCs/>
          <w:i/>
        </w:rPr>
        <w:t>Jurnal Siasat Bisnis</w:t>
      </w:r>
      <w:r>
        <w:rPr>
          <w:bCs/>
        </w:rPr>
        <w:t>, Vol. 9, No. 2, pp: 241-256.</w:t>
      </w:r>
    </w:p>
    <w:p w:rsidR="009D6E57" w:rsidRDefault="009D6E57" w:rsidP="00342DBA">
      <w:pPr>
        <w:autoSpaceDE w:val="0"/>
        <w:autoSpaceDN w:val="0"/>
        <w:adjustRightInd w:val="0"/>
        <w:ind w:left="720" w:hanging="720"/>
        <w:jc w:val="both"/>
      </w:pPr>
      <w:r>
        <w:t xml:space="preserve"> </w:t>
      </w:r>
    </w:p>
    <w:p w:rsidR="00342DBA" w:rsidRDefault="00342DBA" w:rsidP="00342DBA">
      <w:pPr>
        <w:autoSpaceDE w:val="0"/>
        <w:autoSpaceDN w:val="0"/>
        <w:adjustRightInd w:val="0"/>
        <w:ind w:left="720" w:hanging="720"/>
        <w:jc w:val="both"/>
      </w:pPr>
      <w:r>
        <w:t xml:space="preserve">Riyadi, Selamet. 2003. </w:t>
      </w:r>
      <w:r w:rsidRPr="00941FD4">
        <w:rPr>
          <w:i/>
        </w:rPr>
        <w:t>Banking Assets and Liability Management</w:t>
      </w:r>
      <w:r>
        <w:rPr>
          <w:i/>
        </w:rPr>
        <w:t xml:space="preserve">. </w:t>
      </w:r>
      <w:r w:rsidRPr="007921C7">
        <w:t>Edisi Ketiga</w:t>
      </w:r>
      <w:r>
        <w:t>. Jakarta: LP-FEUI.</w:t>
      </w:r>
    </w:p>
    <w:p w:rsidR="00342DBA" w:rsidRDefault="00342DBA" w:rsidP="006801CC">
      <w:pPr>
        <w:autoSpaceDE w:val="0"/>
        <w:autoSpaceDN w:val="0"/>
        <w:adjustRightInd w:val="0"/>
        <w:jc w:val="both"/>
      </w:pPr>
    </w:p>
    <w:p w:rsidR="00E0503F" w:rsidRDefault="00E0503F" w:rsidP="00E0503F">
      <w:pPr>
        <w:autoSpaceDE w:val="0"/>
        <w:autoSpaceDN w:val="0"/>
        <w:adjustRightInd w:val="0"/>
        <w:ind w:left="720" w:hanging="720"/>
        <w:jc w:val="both"/>
      </w:pPr>
      <w:r>
        <w:t xml:space="preserve">Rubayah, Marwati, dan Fauzias. 2002. The Relationship </w:t>
      </w:r>
      <w:proofErr w:type="gramStart"/>
      <w:r>
        <w:t>Between</w:t>
      </w:r>
      <w:proofErr w:type="gramEnd"/>
      <w:r>
        <w:t xml:space="preserve"> Price Volatility, Maturity, and Volume of Trade of the Malaysian Bond Market. </w:t>
      </w:r>
      <w:r w:rsidRPr="005A6B0D">
        <w:rPr>
          <w:i/>
        </w:rPr>
        <w:t>Journal of Finance</w:t>
      </w:r>
      <w:r>
        <w:t>, Vol. 3, No. 1, pp: 51-65.</w:t>
      </w:r>
    </w:p>
    <w:p w:rsidR="00E0503F" w:rsidRDefault="00E0503F" w:rsidP="006801CC">
      <w:pPr>
        <w:autoSpaceDE w:val="0"/>
        <w:autoSpaceDN w:val="0"/>
        <w:adjustRightInd w:val="0"/>
        <w:jc w:val="both"/>
      </w:pPr>
    </w:p>
    <w:p w:rsidR="00342DBA" w:rsidRDefault="00342DBA" w:rsidP="00342DBA">
      <w:pPr>
        <w:autoSpaceDE w:val="0"/>
        <w:autoSpaceDN w:val="0"/>
        <w:adjustRightInd w:val="0"/>
        <w:ind w:left="720" w:hanging="720"/>
        <w:jc w:val="both"/>
      </w:pPr>
      <w:r>
        <w:t xml:space="preserve">Sharpe, Alexander, dan Bailey. 1999. </w:t>
      </w:r>
      <w:r w:rsidRPr="00377A6E">
        <w:rPr>
          <w:i/>
        </w:rPr>
        <w:t>Investasi</w:t>
      </w:r>
      <w:r>
        <w:t xml:space="preserve">. Jilid Dua. </w:t>
      </w:r>
      <w:proofErr w:type="gramStart"/>
      <w:r>
        <w:t>Edisi Bahasa Indonesia.</w:t>
      </w:r>
      <w:proofErr w:type="gramEnd"/>
      <w:r>
        <w:t xml:space="preserve"> Jakarta: Prenhallindo.</w:t>
      </w:r>
    </w:p>
    <w:p w:rsidR="00342DBA" w:rsidRDefault="00342DBA" w:rsidP="00342DBA">
      <w:pPr>
        <w:autoSpaceDE w:val="0"/>
        <w:autoSpaceDN w:val="0"/>
        <w:adjustRightInd w:val="0"/>
        <w:ind w:left="720" w:hanging="720"/>
        <w:jc w:val="both"/>
      </w:pPr>
    </w:p>
    <w:p w:rsidR="00342DBA" w:rsidRDefault="00342DBA" w:rsidP="00342DBA">
      <w:pPr>
        <w:autoSpaceDE w:val="0"/>
        <w:autoSpaceDN w:val="0"/>
        <w:adjustRightInd w:val="0"/>
        <w:ind w:left="720" w:hanging="720"/>
        <w:jc w:val="both"/>
      </w:pPr>
      <w:r>
        <w:t>Siadari, Eben Ezer. 2012. ADB: Indonesia Terdepan di Pasar Obligasi Asia Timur</w:t>
      </w:r>
      <w:r w:rsidRPr="00342B3F">
        <w:t xml:space="preserve">. </w:t>
      </w:r>
      <w:hyperlink r:id="rId8" w:history="1">
        <w:r w:rsidRPr="00342DBA">
          <w:rPr>
            <w:rStyle w:val="Hyperlink"/>
            <w:i/>
            <w:color w:val="auto"/>
          </w:rPr>
          <w:t>http://jaringnews.com/ekonomi/pasar-modal/14125/adb-indonesia-terdepan-di-pasar-obligasi-asia-timur</w:t>
        </w:r>
      </w:hyperlink>
      <w:r w:rsidRPr="00342DBA">
        <w:t>.</w:t>
      </w:r>
      <w:r>
        <w:t xml:space="preserve"> </w:t>
      </w:r>
      <w:proofErr w:type="gramStart"/>
      <w:r>
        <w:t>Diunduh tanggal 15 Januari 2013.</w:t>
      </w:r>
      <w:proofErr w:type="gramEnd"/>
    </w:p>
    <w:p w:rsidR="00342DBA" w:rsidRDefault="00342DBA" w:rsidP="00342DBA">
      <w:pPr>
        <w:autoSpaceDE w:val="0"/>
        <w:autoSpaceDN w:val="0"/>
        <w:adjustRightInd w:val="0"/>
        <w:ind w:left="720" w:hanging="720"/>
        <w:jc w:val="both"/>
      </w:pPr>
    </w:p>
    <w:p w:rsidR="00342DBA" w:rsidRPr="00E11CC1" w:rsidRDefault="00342DBA" w:rsidP="00342DBA">
      <w:pPr>
        <w:autoSpaceDE w:val="0"/>
        <w:autoSpaceDN w:val="0"/>
        <w:adjustRightInd w:val="0"/>
        <w:ind w:left="720" w:hanging="720"/>
        <w:jc w:val="both"/>
      </w:pPr>
      <w:r w:rsidRPr="00E11CC1">
        <w:t xml:space="preserve">Silalahi, Donalson. 2007. Pengaruh Peringkat Obligasi, Biaya Transaksi dan Aktivitas Perdagangan Terhadap Harga Obligasi Pada Pasar Obligasi Korporasi Indonesia. </w:t>
      </w:r>
      <w:r w:rsidRPr="00E11CC1">
        <w:rPr>
          <w:i/>
        </w:rPr>
        <w:t>Jurnal Fakultas Ekonomi Universitas Katolik Santo Thomas SU, Medan</w:t>
      </w:r>
      <w:r w:rsidRPr="00E11CC1">
        <w:t>, Vol. 8, No.1, pp: 39-51.</w:t>
      </w:r>
    </w:p>
    <w:p w:rsidR="00342DBA" w:rsidRDefault="00342DBA" w:rsidP="00342DBA">
      <w:pPr>
        <w:autoSpaceDE w:val="0"/>
        <w:autoSpaceDN w:val="0"/>
        <w:adjustRightInd w:val="0"/>
        <w:ind w:left="720" w:hanging="720"/>
        <w:jc w:val="both"/>
      </w:pPr>
    </w:p>
    <w:p w:rsidR="00342DBA" w:rsidRDefault="00A808B6" w:rsidP="00342DBA">
      <w:pPr>
        <w:autoSpaceDE w:val="0"/>
        <w:autoSpaceDN w:val="0"/>
        <w:adjustRightInd w:val="0"/>
        <w:ind w:left="720" w:hanging="720"/>
        <w:jc w:val="both"/>
      </w:pPr>
      <w:proofErr w:type="gramStart"/>
      <w:r>
        <w:lastRenderedPageBreak/>
        <w:t>Sugiyono.</w:t>
      </w:r>
      <w:proofErr w:type="gramEnd"/>
      <w:r>
        <w:t xml:space="preserve"> 2011</w:t>
      </w:r>
      <w:r w:rsidR="00342DBA">
        <w:t xml:space="preserve">. </w:t>
      </w:r>
      <w:r w:rsidR="00342DBA" w:rsidRPr="00D26A78">
        <w:rPr>
          <w:i/>
        </w:rPr>
        <w:t>Metode Penelitian Bisnis</w:t>
      </w:r>
      <w:r w:rsidR="00342DBA">
        <w:t>. Bandung: Alfabeta.</w:t>
      </w:r>
    </w:p>
    <w:p w:rsidR="00342DBA" w:rsidRDefault="00342DBA" w:rsidP="006801CC">
      <w:pPr>
        <w:autoSpaceDE w:val="0"/>
        <w:autoSpaceDN w:val="0"/>
        <w:adjustRightInd w:val="0"/>
        <w:jc w:val="both"/>
      </w:pPr>
    </w:p>
    <w:p w:rsidR="00342DBA" w:rsidRDefault="00342DBA" w:rsidP="00342DBA">
      <w:pPr>
        <w:autoSpaceDE w:val="0"/>
        <w:autoSpaceDN w:val="0"/>
        <w:adjustRightInd w:val="0"/>
        <w:ind w:left="720" w:hanging="720"/>
        <w:jc w:val="both"/>
      </w:pPr>
      <w:r>
        <w:t xml:space="preserve">Suyana </w:t>
      </w:r>
      <w:proofErr w:type="gramStart"/>
      <w:r>
        <w:t>Utama,</w:t>
      </w:r>
      <w:proofErr w:type="gramEnd"/>
      <w:r>
        <w:t xml:space="preserve"> Made. 2009. </w:t>
      </w:r>
      <w:r w:rsidRPr="00C2701C">
        <w:rPr>
          <w:i/>
        </w:rPr>
        <w:t xml:space="preserve">Buku </w:t>
      </w:r>
      <w:proofErr w:type="gramStart"/>
      <w:r w:rsidRPr="00C2701C">
        <w:rPr>
          <w:i/>
        </w:rPr>
        <w:t>Ajar</w:t>
      </w:r>
      <w:proofErr w:type="gramEnd"/>
      <w:r>
        <w:t xml:space="preserve"> </w:t>
      </w:r>
      <w:r w:rsidRPr="00FA4ACF">
        <w:rPr>
          <w:i/>
        </w:rPr>
        <w:t>Aplikasi Analisis Kuantitatif</w:t>
      </w:r>
      <w:r>
        <w:t>. Denpasar: Sastra Utama.</w:t>
      </w:r>
    </w:p>
    <w:p w:rsidR="00342DBA" w:rsidRDefault="00342DBA" w:rsidP="00342DBA">
      <w:pPr>
        <w:autoSpaceDE w:val="0"/>
        <w:autoSpaceDN w:val="0"/>
        <w:adjustRightInd w:val="0"/>
        <w:ind w:left="720" w:hanging="720"/>
        <w:jc w:val="both"/>
      </w:pPr>
    </w:p>
    <w:p w:rsidR="00342DBA" w:rsidRDefault="00342DBA" w:rsidP="00342DBA">
      <w:pPr>
        <w:autoSpaceDE w:val="0"/>
        <w:autoSpaceDN w:val="0"/>
        <w:adjustRightInd w:val="0"/>
        <w:ind w:left="720" w:hanging="720"/>
        <w:jc w:val="both"/>
      </w:pPr>
      <w:r>
        <w:t xml:space="preserve">Tandelilin, Eduardus. 2010. </w:t>
      </w:r>
      <w:r w:rsidRPr="00291BCD">
        <w:rPr>
          <w:i/>
        </w:rPr>
        <w:t>Portofolio dan Investasi</w:t>
      </w:r>
      <w:r>
        <w:rPr>
          <w:i/>
        </w:rPr>
        <w:t xml:space="preserve">. </w:t>
      </w:r>
      <w:r w:rsidRPr="006C1F82">
        <w:t>Edisi Pertama</w:t>
      </w:r>
      <w:r>
        <w:t>. Yogyakarta: Kanisius</w:t>
      </w:r>
    </w:p>
    <w:p w:rsidR="00342DBA" w:rsidRDefault="00342DBA" w:rsidP="00342DBA">
      <w:pPr>
        <w:autoSpaceDE w:val="0"/>
        <w:autoSpaceDN w:val="0"/>
        <w:adjustRightInd w:val="0"/>
        <w:ind w:left="720" w:hanging="720"/>
        <w:jc w:val="both"/>
      </w:pPr>
    </w:p>
    <w:p w:rsidR="00634C40" w:rsidRDefault="00634C40" w:rsidP="00634C40">
      <w:pPr>
        <w:autoSpaceDE w:val="0"/>
        <w:autoSpaceDN w:val="0"/>
        <w:adjustRightInd w:val="0"/>
        <w:ind w:left="720" w:hanging="720"/>
        <w:jc w:val="both"/>
      </w:pPr>
      <w:r>
        <w:t xml:space="preserve">Wachter, Jessica A. 2001. Risk Aversion and Allocation to Long Term Bonds. </w:t>
      </w:r>
      <w:r w:rsidRPr="00E7186F">
        <w:rPr>
          <w:i/>
        </w:rPr>
        <w:t>Journal of Business</w:t>
      </w:r>
      <w:r>
        <w:t>, pp: 1-8.</w:t>
      </w:r>
    </w:p>
    <w:p w:rsidR="00634C40" w:rsidRDefault="00634C40" w:rsidP="00342DBA">
      <w:pPr>
        <w:autoSpaceDE w:val="0"/>
        <w:autoSpaceDN w:val="0"/>
        <w:adjustRightInd w:val="0"/>
        <w:ind w:left="720" w:hanging="720"/>
        <w:jc w:val="both"/>
      </w:pPr>
      <w:r>
        <w:t xml:space="preserve"> </w:t>
      </w:r>
    </w:p>
    <w:p w:rsidR="00342DBA" w:rsidRPr="00342DBA" w:rsidRDefault="00FE5341" w:rsidP="00342DBA">
      <w:pPr>
        <w:autoSpaceDE w:val="0"/>
        <w:autoSpaceDN w:val="0"/>
        <w:adjustRightInd w:val="0"/>
        <w:jc w:val="both"/>
      </w:pPr>
      <w:hyperlink r:id="rId9" w:history="1">
        <w:r w:rsidR="00342DBA" w:rsidRPr="00342DBA">
          <w:rPr>
            <w:rStyle w:val="Hyperlink"/>
            <w:color w:val="auto"/>
          </w:rPr>
          <w:t>www.idx.co.id</w:t>
        </w:r>
      </w:hyperlink>
    </w:p>
    <w:p w:rsidR="00342DBA" w:rsidRPr="00342DBA" w:rsidRDefault="00342DBA" w:rsidP="00342DBA">
      <w:pPr>
        <w:autoSpaceDE w:val="0"/>
        <w:autoSpaceDN w:val="0"/>
        <w:adjustRightInd w:val="0"/>
        <w:jc w:val="both"/>
      </w:pPr>
    </w:p>
    <w:p w:rsidR="00871FAC" w:rsidRPr="00871FAC" w:rsidRDefault="00FE5341" w:rsidP="00E65E40">
      <w:pPr>
        <w:autoSpaceDE w:val="0"/>
        <w:autoSpaceDN w:val="0"/>
        <w:adjustRightInd w:val="0"/>
        <w:jc w:val="both"/>
      </w:pPr>
      <w:hyperlink r:id="rId10" w:history="1">
        <w:r w:rsidR="00342DBA" w:rsidRPr="00342DBA">
          <w:rPr>
            <w:rStyle w:val="Hyperlink"/>
            <w:color w:val="auto"/>
          </w:rPr>
          <w:t>www.pefindo.com</w:t>
        </w:r>
      </w:hyperlink>
      <w:r w:rsidR="00342DBA" w:rsidRPr="00342DBA">
        <w:t xml:space="preserve"> </w:t>
      </w:r>
    </w:p>
    <w:sectPr w:rsidR="00871FAC" w:rsidRPr="00871FAC" w:rsidSect="00871FAC">
      <w:footerReference w:type="default" r:id="rId11"/>
      <w:pgSz w:w="11907" w:h="16839" w:code="9"/>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692" w:rsidRDefault="00A72692" w:rsidP="00F875E8">
      <w:r>
        <w:separator/>
      </w:r>
    </w:p>
  </w:endnote>
  <w:endnote w:type="continuationSeparator" w:id="1">
    <w:p w:rsidR="00A72692" w:rsidRDefault="00A72692" w:rsidP="00F87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8944"/>
      <w:docPartObj>
        <w:docPartGallery w:val="Page Numbers (Bottom of Page)"/>
        <w:docPartUnique/>
      </w:docPartObj>
    </w:sdtPr>
    <w:sdtContent>
      <w:p w:rsidR="00F875E8" w:rsidRDefault="00FE5341">
        <w:pPr>
          <w:pStyle w:val="Footer"/>
          <w:jc w:val="center"/>
        </w:pPr>
        <w:r>
          <w:fldChar w:fldCharType="begin"/>
        </w:r>
        <w:r w:rsidR="000310E6">
          <w:instrText xml:space="preserve"> PAGE   \* MERGEFORMAT </w:instrText>
        </w:r>
        <w:r>
          <w:fldChar w:fldCharType="separate"/>
        </w:r>
        <w:r w:rsidR="00212F67">
          <w:rPr>
            <w:noProof/>
          </w:rPr>
          <w:t>14</w:t>
        </w:r>
        <w:r>
          <w:rPr>
            <w:noProof/>
          </w:rPr>
          <w:fldChar w:fldCharType="end"/>
        </w:r>
      </w:p>
    </w:sdtContent>
  </w:sdt>
  <w:p w:rsidR="00F875E8" w:rsidRDefault="00F875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692" w:rsidRDefault="00A72692" w:rsidP="00F875E8">
      <w:r>
        <w:separator/>
      </w:r>
    </w:p>
  </w:footnote>
  <w:footnote w:type="continuationSeparator" w:id="1">
    <w:p w:rsidR="00A72692" w:rsidRDefault="00A72692" w:rsidP="00F875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E3286"/>
    <w:multiLevelType w:val="hybridMultilevel"/>
    <w:tmpl w:val="D2D276DA"/>
    <w:lvl w:ilvl="0" w:tplc="04090017">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2BF91DF5"/>
    <w:multiLevelType w:val="hybridMultilevel"/>
    <w:tmpl w:val="53C65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71FAC"/>
    <w:rsid w:val="00000465"/>
    <w:rsid w:val="00017A5A"/>
    <w:rsid w:val="000310E6"/>
    <w:rsid w:val="00052E2E"/>
    <w:rsid w:val="00053C7F"/>
    <w:rsid w:val="00055B6B"/>
    <w:rsid w:val="00060005"/>
    <w:rsid w:val="00065ABC"/>
    <w:rsid w:val="00081A63"/>
    <w:rsid w:val="00087C00"/>
    <w:rsid w:val="000A5D46"/>
    <w:rsid w:val="000E48EE"/>
    <w:rsid w:val="000F0DA4"/>
    <w:rsid w:val="00102B30"/>
    <w:rsid w:val="00107D9F"/>
    <w:rsid w:val="001249DA"/>
    <w:rsid w:val="001333C8"/>
    <w:rsid w:val="00134D18"/>
    <w:rsid w:val="0015372B"/>
    <w:rsid w:val="00153E17"/>
    <w:rsid w:val="001761FB"/>
    <w:rsid w:val="00185947"/>
    <w:rsid w:val="001C2219"/>
    <w:rsid w:val="001C2E0F"/>
    <w:rsid w:val="001D2B21"/>
    <w:rsid w:val="001D316D"/>
    <w:rsid w:val="001F50A9"/>
    <w:rsid w:val="001F76B0"/>
    <w:rsid w:val="00212F67"/>
    <w:rsid w:val="0023027E"/>
    <w:rsid w:val="002545AD"/>
    <w:rsid w:val="002660F7"/>
    <w:rsid w:val="00266868"/>
    <w:rsid w:val="002A0CA0"/>
    <w:rsid w:val="002A0DFC"/>
    <w:rsid w:val="002A7FD2"/>
    <w:rsid w:val="00303726"/>
    <w:rsid w:val="00342DBA"/>
    <w:rsid w:val="003474E1"/>
    <w:rsid w:val="00370AAD"/>
    <w:rsid w:val="003842E9"/>
    <w:rsid w:val="0038455E"/>
    <w:rsid w:val="00397418"/>
    <w:rsid w:val="003A0B01"/>
    <w:rsid w:val="003A1E7C"/>
    <w:rsid w:val="003A458C"/>
    <w:rsid w:val="003D4DAF"/>
    <w:rsid w:val="003E2783"/>
    <w:rsid w:val="003E3BA1"/>
    <w:rsid w:val="003E5F78"/>
    <w:rsid w:val="00400F48"/>
    <w:rsid w:val="00421082"/>
    <w:rsid w:val="00430EC1"/>
    <w:rsid w:val="004A2E2A"/>
    <w:rsid w:val="004A565F"/>
    <w:rsid w:val="004D3171"/>
    <w:rsid w:val="005110FD"/>
    <w:rsid w:val="00522186"/>
    <w:rsid w:val="00535557"/>
    <w:rsid w:val="00545A01"/>
    <w:rsid w:val="00565400"/>
    <w:rsid w:val="00565A0F"/>
    <w:rsid w:val="00566AEB"/>
    <w:rsid w:val="005721AC"/>
    <w:rsid w:val="005A7CE3"/>
    <w:rsid w:val="005C66B1"/>
    <w:rsid w:val="005D1DA5"/>
    <w:rsid w:val="005D46A5"/>
    <w:rsid w:val="005D5A7F"/>
    <w:rsid w:val="00610CA2"/>
    <w:rsid w:val="00634C40"/>
    <w:rsid w:val="0065017A"/>
    <w:rsid w:val="00672D82"/>
    <w:rsid w:val="00675C8D"/>
    <w:rsid w:val="006801CC"/>
    <w:rsid w:val="00682C54"/>
    <w:rsid w:val="00685413"/>
    <w:rsid w:val="0069015F"/>
    <w:rsid w:val="006A6A45"/>
    <w:rsid w:val="006B571B"/>
    <w:rsid w:val="006B6420"/>
    <w:rsid w:val="006D2B04"/>
    <w:rsid w:val="006D53E0"/>
    <w:rsid w:val="006F6F18"/>
    <w:rsid w:val="0070439F"/>
    <w:rsid w:val="0071381C"/>
    <w:rsid w:val="0071398A"/>
    <w:rsid w:val="007241E7"/>
    <w:rsid w:val="00726D1D"/>
    <w:rsid w:val="00727692"/>
    <w:rsid w:val="007434DE"/>
    <w:rsid w:val="00791BD7"/>
    <w:rsid w:val="007935D6"/>
    <w:rsid w:val="007A5671"/>
    <w:rsid w:val="007B0DAE"/>
    <w:rsid w:val="007C54BB"/>
    <w:rsid w:val="00820C69"/>
    <w:rsid w:val="00835B3A"/>
    <w:rsid w:val="00836F33"/>
    <w:rsid w:val="00871FAC"/>
    <w:rsid w:val="00875BF6"/>
    <w:rsid w:val="0088781D"/>
    <w:rsid w:val="008D5677"/>
    <w:rsid w:val="008D65FB"/>
    <w:rsid w:val="008E68BC"/>
    <w:rsid w:val="008E7292"/>
    <w:rsid w:val="009279E3"/>
    <w:rsid w:val="00946040"/>
    <w:rsid w:val="00946C0B"/>
    <w:rsid w:val="00950011"/>
    <w:rsid w:val="009760B2"/>
    <w:rsid w:val="00986E3D"/>
    <w:rsid w:val="009A7BC4"/>
    <w:rsid w:val="009B3199"/>
    <w:rsid w:val="009C214C"/>
    <w:rsid w:val="009C6E38"/>
    <w:rsid w:val="009D085E"/>
    <w:rsid w:val="009D3C40"/>
    <w:rsid w:val="009D6E57"/>
    <w:rsid w:val="009F11EA"/>
    <w:rsid w:val="00A11F66"/>
    <w:rsid w:val="00A137E5"/>
    <w:rsid w:val="00A15C6A"/>
    <w:rsid w:val="00A21218"/>
    <w:rsid w:val="00A60616"/>
    <w:rsid w:val="00A65AFC"/>
    <w:rsid w:val="00A72692"/>
    <w:rsid w:val="00A808B6"/>
    <w:rsid w:val="00A8305D"/>
    <w:rsid w:val="00A93727"/>
    <w:rsid w:val="00AA062C"/>
    <w:rsid w:val="00AD71D5"/>
    <w:rsid w:val="00AD76B6"/>
    <w:rsid w:val="00AF09B3"/>
    <w:rsid w:val="00B04E0F"/>
    <w:rsid w:val="00B10742"/>
    <w:rsid w:val="00B3315C"/>
    <w:rsid w:val="00B37F2A"/>
    <w:rsid w:val="00B40D94"/>
    <w:rsid w:val="00B6138B"/>
    <w:rsid w:val="00B72F5E"/>
    <w:rsid w:val="00B74BA4"/>
    <w:rsid w:val="00B876DD"/>
    <w:rsid w:val="00B9121C"/>
    <w:rsid w:val="00BB7B7F"/>
    <w:rsid w:val="00BC5102"/>
    <w:rsid w:val="00BE63E3"/>
    <w:rsid w:val="00C15AF8"/>
    <w:rsid w:val="00C36C11"/>
    <w:rsid w:val="00C36ECF"/>
    <w:rsid w:val="00C55651"/>
    <w:rsid w:val="00C84589"/>
    <w:rsid w:val="00C921E4"/>
    <w:rsid w:val="00CA36D0"/>
    <w:rsid w:val="00CC1A40"/>
    <w:rsid w:val="00CC5EE5"/>
    <w:rsid w:val="00CC7D14"/>
    <w:rsid w:val="00CE236A"/>
    <w:rsid w:val="00CE4003"/>
    <w:rsid w:val="00CE5578"/>
    <w:rsid w:val="00CE6A54"/>
    <w:rsid w:val="00CF23BB"/>
    <w:rsid w:val="00D17078"/>
    <w:rsid w:val="00D279BA"/>
    <w:rsid w:val="00D34AA1"/>
    <w:rsid w:val="00D36B02"/>
    <w:rsid w:val="00D92CA3"/>
    <w:rsid w:val="00D97702"/>
    <w:rsid w:val="00DA1A35"/>
    <w:rsid w:val="00DA6752"/>
    <w:rsid w:val="00DB0C37"/>
    <w:rsid w:val="00DB66CC"/>
    <w:rsid w:val="00DB75D9"/>
    <w:rsid w:val="00DC0481"/>
    <w:rsid w:val="00DC741F"/>
    <w:rsid w:val="00E0503F"/>
    <w:rsid w:val="00E10080"/>
    <w:rsid w:val="00E201FE"/>
    <w:rsid w:val="00E23EF0"/>
    <w:rsid w:val="00E271C5"/>
    <w:rsid w:val="00E57679"/>
    <w:rsid w:val="00E65E40"/>
    <w:rsid w:val="00E73D6D"/>
    <w:rsid w:val="00EA7055"/>
    <w:rsid w:val="00EB064A"/>
    <w:rsid w:val="00EC026B"/>
    <w:rsid w:val="00EC2D84"/>
    <w:rsid w:val="00ED7140"/>
    <w:rsid w:val="00EE0B78"/>
    <w:rsid w:val="00EE569F"/>
    <w:rsid w:val="00EF614F"/>
    <w:rsid w:val="00F077EA"/>
    <w:rsid w:val="00F20917"/>
    <w:rsid w:val="00F2312D"/>
    <w:rsid w:val="00F37888"/>
    <w:rsid w:val="00F8126B"/>
    <w:rsid w:val="00F81545"/>
    <w:rsid w:val="00F875E8"/>
    <w:rsid w:val="00FA32DA"/>
    <w:rsid w:val="00FB4E12"/>
    <w:rsid w:val="00FD1B25"/>
    <w:rsid w:val="00FD256F"/>
    <w:rsid w:val="00FE1740"/>
    <w:rsid w:val="00FE5341"/>
    <w:rsid w:val="00FF5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1D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D5"/>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871FAC"/>
    <w:rPr>
      <w:color w:val="0000FF" w:themeColor="hyperlink"/>
      <w:u w:val="single"/>
    </w:rPr>
  </w:style>
  <w:style w:type="paragraph" w:styleId="Header">
    <w:name w:val="header"/>
    <w:basedOn w:val="Normal"/>
    <w:link w:val="HeaderChar"/>
    <w:uiPriority w:val="99"/>
    <w:semiHidden/>
    <w:unhideWhenUsed/>
    <w:rsid w:val="00F875E8"/>
    <w:pPr>
      <w:tabs>
        <w:tab w:val="center" w:pos="4680"/>
        <w:tab w:val="right" w:pos="9360"/>
      </w:tabs>
    </w:pPr>
  </w:style>
  <w:style w:type="character" w:customStyle="1" w:styleId="HeaderChar">
    <w:name w:val="Header Char"/>
    <w:basedOn w:val="DefaultParagraphFont"/>
    <w:link w:val="Header"/>
    <w:uiPriority w:val="99"/>
    <w:semiHidden/>
    <w:rsid w:val="00F875E8"/>
    <w:rPr>
      <w:rFonts w:ascii="Times New Roman" w:hAnsi="Times New Roman"/>
      <w:sz w:val="24"/>
      <w:szCs w:val="24"/>
    </w:rPr>
  </w:style>
  <w:style w:type="paragraph" w:styleId="Footer">
    <w:name w:val="footer"/>
    <w:basedOn w:val="Normal"/>
    <w:link w:val="FooterChar"/>
    <w:uiPriority w:val="99"/>
    <w:unhideWhenUsed/>
    <w:rsid w:val="00F875E8"/>
    <w:pPr>
      <w:tabs>
        <w:tab w:val="center" w:pos="4680"/>
        <w:tab w:val="right" w:pos="9360"/>
      </w:tabs>
    </w:pPr>
  </w:style>
  <w:style w:type="character" w:customStyle="1" w:styleId="FooterChar">
    <w:name w:val="Footer Char"/>
    <w:basedOn w:val="DefaultParagraphFont"/>
    <w:link w:val="Footer"/>
    <w:uiPriority w:val="99"/>
    <w:rsid w:val="00F875E8"/>
    <w:rPr>
      <w:rFonts w:ascii="Times New Roman" w:hAnsi="Times New Roman"/>
      <w:sz w:val="24"/>
      <w:szCs w:val="24"/>
    </w:rPr>
  </w:style>
  <w:style w:type="paragraph" w:styleId="BalloonText">
    <w:name w:val="Balloon Text"/>
    <w:basedOn w:val="Normal"/>
    <w:link w:val="BalloonTextChar"/>
    <w:uiPriority w:val="99"/>
    <w:semiHidden/>
    <w:unhideWhenUsed/>
    <w:rsid w:val="00081A63"/>
    <w:rPr>
      <w:rFonts w:ascii="Tahoma" w:hAnsi="Tahoma" w:cs="Tahoma"/>
      <w:sz w:val="16"/>
      <w:szCs w:val="16"/>
    </w:rPr>
  </w:style>
  <w:style w:type="character" w:customStyle="1" w:styleId="BalloonTextChar">
    <w:name w:val="Balloon Text Char"/>
    <w:basedOn w:val="DefaultParagraphFont"/>
    <w:link w:val="BalloonText"/>
    <w:uiPriority w:val="99"/>
    <w:semiHidden/>
    <w:rsid w:val="00081A63"/>
    <w:rPr>
      <w:rFonts w:ascii="Tahoma" w:hAnsi="Tahoma" w:cs="Tahoma"/>
      <w:sz w:val="16"/>
      <w:szCs w:val="16"/>
    </w:rPr>
  </w:style>
  <w:style w:type="character" w:styleId="PlaceholderText">
    <w:name w:val="Placeholder Text"/>
    <w:basedOn w:val="DefaultParagraphFont"/>
    <w:uiPriority w:val="99"/>
    <w:semiHidden/>
    <w:rsid w:val="004D31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7622334">
      <w:bodyDiv w:val="1"/>
      <w:marLeft w:val="0"/>
      <w:marRight w:val="0"/>
      <w:marTop w:val="0"/>
      <w:marBottom w:val="0"/>
      <w:divBdr>
        <w:top w:val="none" w:sz="0" w:space="0" w:color="auto"/>
        <w:left w:val="none" w:sz="0" w:space="0" w:color="auto"/>
        <w:bottom w:val="none" w:sz="0" w:space="0" w:color="auto"/>
        <w:right w:val="none" w:sz="0" w:space="0" w:color="auto"/>
      </w:divBdr>
    </w:div>
    <w:div w:id="87827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ringnews.com/ekonomi/pasar-modal/14125/adb-indonesia-terdepan-di-pasar-obligasi-asia-tim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karia199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efindo.com" TargetMode="External"/><Relationship Id="rId4" Type="http://schemas.openxmlformats.org/officeDocument/2006/relationships/webSettings" Target="webSettings.xml"/><Relationship Id="rId9" Type="http://schemas.openxmlformats.org/officeDocument/2006/relationships/hyperlink" Target="http://www.idx.co.id"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15</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Febio</dc:creator>
  <cp:lastModifiedBy>USER</cp:lastModifiedBy>
  <cp:revision>186</cp:revision>
  <dcterms:created xsi:type="dcterms:W3CDTF">2013-06-09T11:59:00Z</dcterms:created>
  <dcterms:modified xsi:type="dcterms:W3CDTF">2013-07-16T02:30:00Z</dcterms:modified>
</cp:coreProperties>
</file>