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422" w:rsidRPr="00D95422" w:rsidRDefault="00D408D0" w:rsidP="00D95422">
      <w:pPr>
        <w:autoSpaceDE w:val="0"/>
        <w:autoSpaceDN w:val="0"/>
        <w:adjustRightInd w:val="0"/>
        <w:jc w:val="center"/>
        <w:rPr>
          <w:rFonts w:ascii="Times New Roman" w:eastAsia="Times New Roman" w:hAnsi="Times New Roman"/>
          <w:b/>
          <w:sz w:val="28"/>
          <w:szCs w:val="28"/>
          <w:lang w:val="en-US" w:eastAsia="id-ID"/>
        </w:rPr>
      </w:pPr>
      <w:r>
        <w:rPr>
          <w:rFonts w:ascii="Times New Roman" w:eastAsia="Times New Roman" w:hAnsi="Times New Roman"/>
          <w:b/>
          <w:sz w:val="28"/>
          <w:szCs w:val="28"/>
          <w:lang w:val="en-US" w:eastAsia="id-ID"/>
        </w:rPr>
        <w:t xml:space="preserve">TATA CARA PENERAPAN </w:t>
      </w:r>
      <w:r w:rsidR="00BC66C0">
        <w:rPr>
          <w:rFonts w:ascii="Times New Roman" w:eastAsia="Times New Roman" w:hAnsi="Times New Roman"/>
          <w:b/>
          <w:sz w:val="28"/>
          <w:szCs w:val="28"/>
          <w:lang w:val="en-US" w:eastAsia="id-ID"/>
        </w:rPr>
        <w:t>GUGATAN</w:t>
      </w:r>
      <w:r w:rsidR="00CD718B">
        <w:rPr>
          <w:rFonts w:ascii="Times New Roman" w:eastAsia="Times New Roman" w:hAnsi="Times New Roman"/>
          <w:b/>
          <w:sz w:val="28"/>
          <w:szCs w:val="28"/>
          <w:lang w:val="en-US" w:eastAsia="id-ID"/>
        </w:rPr>
        <w:t xml:space="preserve"> PERWAKILAN KELOMPOK</w:t>
      </w:r>
      <w:r w:rsidR="00BC66C0">
        <w:rPr>
          <w:rFonts w:ascii="Times New Roman" w:eastAsia="Times New Roman" w:hAnsi="Times New Roman"/>
          <w:b/>
          <w:sz w:val="28"/>
          <w:szCs w:val="28"/>
          <w:lang w:val="en-US" w:eastAsia="id-ID"/>
        </w:rPr>
        <w:t xml:space="preserve"> </w:t>
      </w:r>
      <w:r w:rsidR="00CD718B">
        <w:rPr>
          <w:rFonts w:ascii="Times New Roman" w:eastAsia="Times New Roman" w:hAnsi="Times New Roman"/>
          <w:b/>
          <w:sz w:val="28"/>
          <w:szCs w:val="28"/>
          <w:lang w:val="en-US" w:eastAsia="id-ID"/>
        </w:rPr>
        <w:t>(</w:t>
      </w:r>
      <w:r w:rsidRPr="00091D1A">
        <w:rPr>
          <w:rFonts w:ascii="Times New Roman" w:eastAsia="Times New Roman" w:hAnsi="Times New Roman"/>
          <w:b/>
          <w:i/>
          <w:sz w:val="28"/>
          <w:szCs w:val="28"/>
          <w:lang w:val="en-US" w:eastAsia="id-ID"/>
        </w:rPr>
        <w:t>CLASS ACTION</w:t>
      </w:r>
      <w:r w:rsidR="00CD718B">
        <w:rPr>
          <w:rFonts w:ascii="Times New Roman" w:eastAsia="Times New Roman" w:hAnsi="Times New Roman"/>
          <w:b/>
          <w:sz w:val="28"/>
          <w:szCs w:val="28"/>
          <w:lang w:val="en-US" w:eastAsia="id-ID"/>
        </w:rPr>
        <w:t xml:space="preserve">) DAN </w:t>
      </w:r>
      <w:r w:rsidR="0090108B">
        <w:rPr>
          <w:rFonts w:ascii="Times New Roman" w:eastAsia="Times New Roman" w:hAnsi="Times New Roman"/>
          <w:b/>
          <w:sz w:val="28"/>
          <w:szCs w:val="28"/>
          <w:lang w:val="en-US" w:eastAsia="id-ID"/>
        </w:rPr>
        <w:t>HAK</w:t>
      </w:r>
      <w:r w:rsidR="00D81FE8">
        <w:rPr>
          <w:rFonts w:ascii="Times New Roman" w:eastAsia="Times New Roman" w:hAnsi="Times New Roman"/>
          <w:b/>
          <w:sz w:val="28"/>
          <w:szCs w:val="28"/>
          <w:lang w:val="en-US" w:eastAsia="id-ID"/>
        </w:rPr>
        <w:t xml:space="preserve"> </w:t>
      </w:r>
      <w:r w:rsidR="00CD718B">
        <w:rPr>
          <w:rFonts w:ascii="Times New Roman" w:eastAsia="Times New Roman" w:hAnsi="Times New Roman"/>
          <w:b/>
          <w:sz w:val="28"/>
          <w:szCs w:val="28"/>
          <w:lang w:val="en-US" w:eastAsia="id-ID"/>
        </w:rPr>
        <w:t>GUGATAN LEMBAGA SWADAYA MASYARAKAT</w:t>
      </w:r>
      <w:r w:rsidR="00D81FE8">
        <w:rPr>
          <w:rFonts w:ascii="Times New Roman" w:eastAsia="Times New Roman" w:hAnsi="Times New Roman"/>
          <w:b/>
          <w:sz w:val="28"/>
          <w:szCs w:val="28"/>
          <w:lang w:val="en-US" w:eastAsia="id-ID"/>
        </w:rPr>
        <w:t xml:space="preserve"> DALAM PENYE</w:t>
      </w:r>
      <w:r w:rsidR="00BC66C0">
        <w:rPr>
          <w:rFonts w:ascii="Times New Roman" w:eastAsia="Times New Roman" w:hAnsi="Times New Roman"/>
          <w:b/>
          <w:sz w:val="28"/>
          <w:szCs w:val="28"/>
          <w:lang w:val="en-US" w:eastAsia="id-ID"/>
        </w:rPr>
        <w:t>LESAI</w:t>
      </w:r>
      <w:r w:rsidR="00D81FE8">
        <w:rPr>
          <w:rFonts w:ascii="Times New Roman" w:eastAsia="Times New Roman" w:hAnsi="Times New Roman"/>
          <w:b/>
          <w:sz w:val="28"/>
          <w:szCs w:val="28"/>
          <w:lang w:val="en-US" w:eastAsia="id-ID"/>
        </w:rPr>
        <w:t>A</w:t>
      </w:r>
      <w:r w:rsidR="00BC66C0">
        <w:rPr>
          <w:rFonts w:ascii="Times New Roman" w:eastAsia="Times New Roman" w:hAnsi="Times New Roman"/>
          <w:b/>
          <w:sz w:val="28"/>
          <w:szCs w:val="28"/>
          <w:lang w:val="en-US" w:eastAsia="id-ID"/>
        </w:rPr>
        <w:t>N SENG</w:t>
      </w:r>
      <w:r w:rsidR="00AF066F">
        <w:rPr>
          <w:rFonts w:ascii="Times New Roman" w:eastAsia="Times New Roman" w:hAnsi="Times New Roman"/>
          <w:b/>
          <w:sz w:val="28"/>
          <w:szCs w:val="28"/>
          <w:lang w:val="en-US" w:eastAsia="id-ID"/>
        </w:rPr>
        <w:t>K</w:t>
      </w:r>
      <w:r w:rsidR="00BC66C0">
        <w:rPr>
          <w:rFonts w:ascii="Times New Roman" w:eastAsia="Times New Roman" w:hAnsi="Times New Roman"/>
          <w:b/>
          <w:sz w:val="28"/>
          <w:szCs w:val="28"/>
          <w:lang w:val="en-US" w:eastAsia="id-ID"/>
        </w:rPr>
        <w:t>ETA DI INDONESIA</w:t>
      </w:r>
    </w:p>
    <w:p w:rsidR="00D95422" w:rsidRDefault="00D95422" w:rsidP="00D95422">
      <w:pPr>
        <w:spacing w:after="0" w:line="240" w:lineRule="auto"/>
        <w:jc w:val="center"/>
        <w:rPr>
          <w:rFonts w:ascii="Times New Roman" w:hAnsi="Times New Roman"/>
        </w:rPr>
      </w:pPr>
      <w:r>
        <w:rPr>
          <w:rFonts w:ascii="Times New Roman" w:hAnsi="Times New Roman"/>
        </w:rPr>
        <w:t>Oleh:</w:t>
      </w:r>
    </w:p>
    <w:p w:rsidR="00D95422" w:rsidRPr="00D95422" w:rsidRDefault="00D95422" w:rsidP="00D95422">
      <w:pPr>
        <w:spacing w:after="0" w:line="240" w:lineRule="auto"/>
        <w:jc w:val="center"/>
        <w:rPr>
          <w:rFonts w:ascii="Times New Roman" w:hAnsi="Times New Roman"/>
          <w:lang w:val="en-US"/>
        </w:rPr>
      </w:pPr>
      <w:r>
        <w:rPr>
          <w:rFonts w:ascii="Times New Roman" w:hAnsi="Times New Roman"/>
          <w:lang w:val="en-US"/>
        </w:rPr>
        <w:t>Dewa Gede Angga Pratipta</w:t>
      </w:r>
    </w:p>
    <w:p w:rsidR="00D95422" w:rsidRDefault="00D67043" w:rsidP="00D95422">
      <w:pPr>
        <w:spacing w:after="0" w:line="240" w:lineRule="auto"/>
        <w:jc w:val="center"/>
        <w:rPr>
          <w:rFonts w:ascii="Times New Roman" w:hAnsi="Times New Roman"/>
        </w:rPr>
      </w:pPr>
      <w:r>
        <w:rPr>
          <w:rFonts w:ascii="Times New Roman" w:hAnsi="Times New Roman"/>
          <w:lang w:val="en-US"/>
        </w:rPr>
        <w:t>Cokorda Dalem Dahana</w:t>
      </w:r>
    </w:p>
    <w:p w:rsidR="00D95422" w:rsidRDefault="00D95422" w:rsidP="00D95422">
      <w:pPr>
        <w:spacing w:after="0" w:line="240" w:lineRule="auto"/>
        <w:jc w:val="center"/>
        <w:rPr>
          <w:rFonts w:ascii="Times New Roman" w:hAnsi="Times New Roman"/>
          <w:b/>
          <w:sz w:val="28"/>
          <w:szCs w:val="28"/>
        </w:rPr>
      </w:pPr>
      <w:r>
        <w:rPr>
          <w:rFonts w:ascii="Times New Roman" w:hAnsi="Times New Roman"/>
        </w:rPr>
        <w:t>Program Kekhususan Hukum Peradilan/Acara Fakultas Hukum Universitas Udayana</w:t>
      </w:r>
    </w:p>
    <w:p w:rsidR="00D95422" w:rsidRPr="00BC1CA0" w:rsidRDefault="00D95422" w:rsidP="00D95422">
      <w:pPr>
        <w:rPr>
          <w:rFonts w:ascii="Times New Roman" w:hAnsi="Times New Roman"/>
          <w:b/>
          <w:sz w:val="28"/>
          <w:szCs w:val="28"/>
          <w:lang w:val="en-US"/>
        </w:rPr>
      </w:pPr>
    </w:p>
    <w:p w:rsidR="00D95422" w:rsidRDefault="00D95422" w:rsidP="00D95422">
      <w:pPr>
        <w:tabs>
          <w:tab w:val="left" w:pos="450"/>
        </w:tabs>
        <w:jc w:val="center"/>
        <w:rPr>
          <w:rFonts w:ascii="Times New Roman" w:hAnsi="Times New Roman"/>
          <w:b/>
          <w:i/>
          <w:sz w:val="24"/>
          <w:lang w:val="en-US"/>
        </w:rPr>
      </w:pPr>
      <w:r w:rsidRPr="006660FA">
        <w:rPr>
          <w:rFonts w:ascii="Times New Roman" w:hAnsi="Times New Roman"/>
          <w:b/>
          <w:i/>
          <w:sz w:val="24"/>
        </w:rPr>
        <w:t>Abstract :</w:t>
      </w:r>
    </w:p>
    <w:p w:rsidR="008D0B88" w:rsidRPr="008D0B88" w:rsidRDefault="008D0B88" w:rsidP="00704FE8">
      <w:pPr>
        <w:spacing w:after="0" w:line="240" w:lineRule="auto"/>
        <w:ind w:firstLine="720"/>
        <w:jc w:val="both"/>
        <w:rPr>
          <w:rFonts w:ascii="Times New Roman" w:eastAsia="Times New Roman" w:hAnsi="Times New Roman"/>
          <w:i/>
          <w:sz w:val="24"/>
          <w:szCs w:val="24"/>
          <w:lang w:val="en-US"/>
        </w:rPr>
      </w:pPr>
      <w:r w:rsidRPr="008D0B88">
        <w:rPr>
          <w:rFonts w:ascii="Times New Roman" w:eastAsia="Times New Roman" w:hAnsi="Times New Roman"/>
          <w:i/>
          <w:sz w:val="24"/>
          <w:szCs w:val="24"/>
          <w:lang w:val="en-US"/>
        </w:rPr>
        <w:t xml:space="preserve">This journal entitled "procedures for the implementation of the class-action lawsuit (Class Action) and the right of redress and non-governmental organizations in the settlement of Disputes in Indonesia". Formulation of the problem in this journal contains about the procedures for the application of the lawsuit and the right of redress and non-governmental organizations. Research methods used in this journal are the normative use of primary and secondary data. </w:t>
      </w:r>
      <w:r w:rsidR="00091D1A" w:rsidRPr="00091D1A">
        <w:rPr>
          <w:rFonts w:ascii="Times New Roman" w:eastAsia="Times New Roman" w:hAnsi="Times New Roman"/>
          <w:i/>
          <w:sz w:val="24"/>
          <w:szCs w:val="24"/>
          <w:lang w:val="en-US"/>
        </w:rPr>
        <w:t>The conclusions of this journal is lawsuit (class action) is different in the sense of rights Ngo lawsuit. Class Action Legal Standing and should be understood as two types of lawsuits through the representatives of different groups among each other.</w:t>
      </w:r>
    </w:p>
    <w:p w:rsidR="0094547E" w:rsidRPr="00BC1CA0" w:rsidRDefault="00D95422" w:rsidP="00BC1CA0">
      <w:pPr>
        <w:widowControl w:val="0"/>
        <w:tabs>
          <w:tab w:val="left" w:pos="1540"/>
          <w:tab w:val="left" w:pos="3080"/>
          <w:tab w:val="left" w:pos="4160"/>
          <w:tab w:val="left" w:pos="5800"/>
          <w:tab w:val="left" w:pos="6620"/>
        </w:tabs>
        <w:autoSpaceDE w:val="0"/>
        <w:autoSpaceDN w:val="0"/>
        <w:adjustRightInd w:val="0"/>
        <w:spacing w:before="29" w:line="360" w:lineRule="auto"/>
        <w:rPr>
          <w:rFonts w:ascii="Times New Roman" w:hAnsi="Times New Roman"/>
          <w:b/>
          <w:i/>
          <w:color w:val="000000"/>
          <w:sz w:val="24"/>
          <w:lang w:val="en-US"/>
        </w:rPr>
      </w:pPr>
      <w:r w:rsidRPr="00D95422">
        <w:rPr>
          <w:rFonts w:ascii="Times New Roman" w:hAnsi="Times New Roman"/>
          <w:b/>
          <w:i/>
          <w:color w:val="000000"/>
          <w:sz w:val="24"/>
        </w:rPr>
        <w:t>Keywords</w:t>
      </w:r>
      <w:r w:rsidRPr="00D95422">
        <w:rPr>
          <w:rFonts w:ascii="Times New Roman" w:hAnsi="Times New Roman"/>
          <w:b/>
          <w:i/>
          <w:color w:val="000000"/>
          <w:sz w:val="24"/>
        </w:rPr>
        <w:tab/>
        <w:t xml:space="preserve">: </w:t>
      </w:r>
      <w:r w:rsidR="00AD11EE">
        <w:rPr>
          <w:rFonts w:ascii="Times New Roman" w:hAnsi="Times New Roman"/>
          <w:b/>
          <w:i/>
          <w:color w:val="000000"/>
          <w:sz w:val="24"/>
          <w:lang w:val="en-US"/>
        </w:rPr>
        <w:t>Class Action</w:t>
      </w:r>
      <w:r w:rsidRPr="00D95422">
        <w:rPr>
          <w:rFonts w:ascii="Times New Roman" w:hAnsi="Times New Roman"/>
          <w:b/>
          <w:i/>
          <w:color w:val="000000"/>
          <w:sz w:val="24"/>
        </w:rPr>
        <w:t xml:space="preserve">, </w:t>
      </w:r>
      <w:r w:rsidR="00AD11EE" w:rsidRPr="00AD11EE">
        <w:rPr>
          <w:rFonts w:ascii="Times New Roman" w:hAnsi="Times New Roman"/>
          <w:b/>
          <w:i/>
          <w:color w:val="000000"/>
          <w:sz w:val="24"/>
        </w:rPr>
        <w:t>Rights NGO lawsuit</w:t>
      </w:r>
      <w:r w:rsidR="00AD11EE">
        <w:rPr>
          <w:rFonts w:ascii="Times New Roman" w:hAnsi="Times New Roman"/>
          <w:b/>
          <w:i/>
          <w:color w:val="000000"/>
          <w:sz w:val="24"/>
        </w:rPr>
        <w:t xml:space="preserve">, </w:t>
      </w:r>
      <w:r w:rsidR="00AD11EE" w:rsidRPr="00AD11EE">
        <w:rPr>
          <w:rFonts w:ascii="Times New Roman" w:hAnsi="Times New Roman"/>
          <w:b/>
          <w:i/>
          <w:color w:val="000000"/>
          <w:sz w:val="24"/>
        </w:rPr>
        <w:t>Dispute Resolution</w:t>
      </w:r>
    </w:p>
    <w:p w:rsidR="00D95422" w:rsidRPr="006660FA" w:rsidRDefault="00D95422" w:rsidP="00D95422">
      <w:pPr>
        <w:jc w:val="center"/>
        <w:rPr>
          <w:rFonts w:ascii="Times New Roman" w:hAnsi="Times New Roman"/>
          <w:b/>
          <w:sz w:val="24"/>
        </w:rPr>
      </w:pPr>
      <w:r w:rsidRPr="006660FA">
        <w:rPr>
          <w:rFonts w:ascii="Times New Roman" w:hAnsi="Times New Roman"/>
          <w:b/>
          <w:sz w:val="24"/>
        </w:rPr>
        <w:t>Abstrak :</w:t>
      </w:r>
    </w:p>
    <w:p w:rsidR="00BC1CA0" w:rsidRDefault="004162EC" w:rsidP="00BC1CA0">
      <w:pPr>
        <w:ind w:firstLine="720"/>
        <w:jc w:val="both"/>
        <w:rPr>
          <w:rFonts w:ascii="Times New Roman" w:hAnsi="Times New Roman"/>
          <w:bCs/>
          <w:sz w:val="24"/>
          <w:lang w:val="en-US"/>
        </w:rPr>
      </w:pPr>
      <w:r>
        <w:rPr>
          <w:rFonts w:ascii="Times New Roman" w:hAnsi="Times New Roman"/>
          <w:sz w:val="24"/>
          <w:lang w:val="en-US"/>
        </w:rPr>
        <w:t>Jurnal ini berjudul “</w:t>
      </w:r>
      <w:r w:rsidRPr="004162EC">
        <w:rPr>
          <w:rFonts w:ascii="Times New Roman" w:hAnsi="Times New Roman"/>
          <w:sz w:val="24"/>
          <w:lang w:val="en-US"/>
        </w:rPr>
        <w:t xml:space="preserve">Tata Cara Penerapan Gugatan Perwakilan Kelompok </w:t>
      </w:r>
      <w:r w:rsidRPr="004162EC">
        <w:rPr>
          <w:rFonts w:ascii="Times New Roman" w:hAnsi="Times New Roman"/>
          <w:i/>
          <w:sz w:val="24"/>
          <w:lang w:val="en-US"/>
        </w:rPr>
        <w:t>(Class Action)</w:t>
      </w:r>
      <w:r>
        <w:rPr>
          <w:rFonts w:ascii="Times New Roman" w:hAnsi="Times New Roman"/>
          <w:sz w:val="24"/>
          <w:lang w:val="en-US"/>
        </w:rPr>
        <w:t xml:space="preserve"> d</w:t>
      </w:r>
      <w:r w:rsidRPr="004162EC">
        <w:rPr>
          <w:rFonts w:ascii="Times New Roman" w:hAnsi="Times New Roman"/>
          <w:sz w:val="24"/>
          <w:lang w:val="en-US"/>
        </w:rPr>
        <w:t>an Hak Guga</w:t>
      </w:r>
      <w:r>
        <w:rPr>
          <w:rFonts w:ascii="Times New Roman" w:hAnsi="Times New Roman"/>
          <w:sz w:val="24"/>
          <w:lang w:val="en-US"/>
        </w:rPr>
        <w:t>tan Lembaga Swadaya Masyarakat dalam Penyelesaian Sengketa d</w:t>
      </w:r>
      <w:r w:rsidRPr="004162EC">
        <w:rPr>
          <w:rFonts w:ascii="Times New Roman" w:hAnsi="Times New Roman"/>
          <w:sz w:val="24"/>
          <w:lang w:val="en-US"/>
        </w:rPr>
        <w:t>i Indonesia</w:t>
      </w:r>
      <w:r>
        <w:rPr>
          <w:rFonts w:ascii="Times New Roman" w:hAnsi="Times New Roman"/>
          <w:sz w:val="24"/>
          <w:lang w:val="en-US"/>
        </w:rPr>
        <w:t xml:space="preserve">”. Rumusan masalah dalam jurnal ini berisikan tentang tata cara penerapan gugatan perwakilan kelompok dan hak gugatan lembaga swadaya masyarakat. Metode penelitian yang digunakan dalam jurnal ini adalah normatif menggunakan data primer dan sekunder. Kesimpulan dari jurnal ini adalah </w:t>
      </w:r>
      <w:r w:rsidRPr="00585995">
        <w:rPr>
          <w:rFonts w:ascii="Times New Roman" w:hAnsi="Times New Roman"/>
          <w:bCs/>
          <w:sz w:val="24"/>
          <w:lang w:val="en-US"/>
        </w:rPr>
        <w:t xml:space="preserve">gugatan perwakilan </w:t>
      </w:r>
      <w:r w:rsidRPr="00951FC2">
        <w:rPr>
          <w:rFonts w:ascii="Times New Roman" w:hAnsi="Times New Roman"/>
          <w:bCs/>
          <w:i/>
          <w:sz w:val="24"/>
          <w:lang w:val="en-US"/>
        </w:rPr>
        <w:t>(class action)</w:t>
      </w:r>
      <w:r w:rsidRPr="00585995">
        <w:rPr>
          <w:rFonts w:ascii="Times New Roman" w:hAnsi="Times New Roman"/>
          <w:bCs/>
          <w:sz w:val="24"/>
          <w:lang w:val="en-US"/>
        </w:rPr>
        <w:t xml:space="preserve"> berbeda dengan pengertian hak gugatan Lembaga Swadaya Masyarakat.</w:t>
      </w:r>
      <w:r>
        <w:rPr>
          <w:rFonts w:ascii="Times New Roman" w:hAnsi="Times New Roman"/>
          <w:bCs/>
          <w:sz w:val="24"/>
          <w:lang w:val="en-US"/>
        </w:rPr>
        <w:t xml:space="preserve"> </w:t>
      </w:r>
      <w:r w:rsidR="00091D1A" w:rsidRPr="00951FC2">
        <w:rPr>
          <w:rFonts w:ascii="Times New Roman" w:hAnsi="Times New Roman"/>
          <w:bCs/>
          <w:i/>
          <w:sz w:val="24"/>
          <w:lang w:val="en-US"/>
        </w:rPr>
        <w:t>Class Action</w:t>
      </w:r>
      <w:r w:rsidR="00091D1A" w:rsidRPr="00091D1A">
        <w:rPr>
          <w:rFonts w:ascii="Times New Roman" w:hAnsi="Times New Roman"/>
          <w:bCs/>
          <w:sz w:val="24"/>
          <w:lang w:val="en-US"/>
        </w:rPr>
        <w:t xml:space="preserve"> dan </w:t>
      </w:r>
      <w:r w:rsidR="00091D1A" w:rsidRPr="00951FC2">
        <w:rPr>
          <w:rFonts w:ascii="Times New Roman" w:hAnsi="Times New Roman"/>
          <w:bCs/>
          <w:i/>
          <w:sz w:val="24"/>
          <w:lang w:val="en-US"/>
        </w:rPr>
        <w:t>Legal Standing</w:t>
      </w:r>
      <w:r w:rsidR="00091D1A" w:rsidRPr="00091D1A">
        <w:rPr>
          <w:rFonts w:ascii="Times New Roman" w:hAnsi="Times New Roman"/>
          <w:bCs/>
          <w:sz w:val="24"/>
          <w:lang w:val="en-US"/>
        </w:rPr>
        <w:t xml:space="preserve"> hendaknya dipahami sebagai dua jenis gugatan perdata melalui perwakilan kelompok yang berbeda antara satu dengan yang lain. </w:t>
      </w:r>
    </w:p>
    <w:p w:rsidR="00D95422" w:rsidRDefault="00D95422" w:rsidP="00BC1CA0">
      <w:pPr>
        <w:jc w:val="both"/>
        <w:rPr>
          <w:rFonts w:ascii="Times New Roman" w:hAnsi="Times New Roman"/>
          <w:b/>
          <w:i/>
          <w:sz w:val="24"/>
          <w:lang w:val="en-US"/>
        </w:rPr>
      </w:pPr>
      <w:r w:rsidRPr="00704FE8">
        <w:rPr>
          <w:rFonts w:ascii="Times New Roman" w:hAnsi="Times New Roman"/>
          <w:b/>
          <w:i/>
          <w:sz w:val="24"/>
        </w:rPr>
        <w:t>Kata Kunci</w:t>
      </w:r>
      <w:r w:rsidRPr="00704FE8">
        <w:rPr>
          <w:rFonts w:ascii="Times New Roman" w:hAnsi="Times New Roman"/>
          <w:b/>
          <w:i/>
          <w:sz w:val="24"/>
        </w:rPr>
        <w:tab/>
        <w:t xml:space="preserve">: </w:t>
      </w:r>
      <w:r w:rsidR="00585995" w:rsidRPr="00704FE8">
        <w:rPr>
          <w:rFonts w:ascii="Times New Roman" w:hAnsi="Times New Roman"/>
          <w:b/>
          <w:i/>
          <w:sz w:val="24"/>
          <w:lang w:val="en-US"/>
        </w:rPr>
        <w:t>Gugatan Perwakila</w:t>
      </w:r>
      <w:r w:rsidR="00704FE8">
        <w:rPr>
          <w:rFonts w:ascii="Times New Roman" w:hAnsi="Times New Roman"/>
          <w:b/>
          <w:i/>
          <w:sz w:val="24"/>
          <w:lang w:val="en-US"/>
        </w:rPr>
        <w:t xml:space="preserve">n Kelompok, Hak Gugatan Lembaga </w:t>
      </w:r>
      <w:r w:rsidR="00585995" w:rsidRPr="00704FE8">
        <w:rPr>
          <w:rFonts w:ascii="Times New Roman" w:hAnsi="Times New Roman"/>
          <w:b/>
          <w:i/>
          <w:sz w:val="24"/>
          <w:lang w:val="en-US"/>
        </w:rPr>
        <w:t>Swadaya Masyarakat, Penyelesaian Sengketa</w:t>
      </w:r>
    </w:p>
    <w:p w:rsidR="00BC1CA0" w:rsidRDefault="00BC1CA0" w:rsidP="00BC1CA0">
      <w:pPr>
        <w:jc w:val="both"/>
        <w:rPr>
          <w:rFonts w:ascii="Times New Roman" w:hAnsi="Times New Roman"/>
          <w:b/>
          <w:i/>
          <w:sz w:val="24"/>
          <w:lang w:val="en-US"/>
        </w:rPr>
      </w:pPr>
    </w:p>
    <w:p w:rsidR="00BC1CA0" w:rsidRPr="00BC1CA0" w:rsidRDefault="001E28BA" w:rsidP="00BC1CA0">
      <w:pPr>
        <w:jc w:val="both"/>
        <w:rPr>
          <w:rFonts w:ascii="Times New Roman" w:hAnsi="Times New Roman"/>
          <w:bCs/>
          <w:sz w:val="24"/>
          <w:lang w:val="en-US"/>
        </w:rPr>
      </w:pPr>
      <w:r>
        <w:rPr>
          <w:rFonts w:ascii="Times New Roman" w:eastAsia="Times New Roman" w:hAnsi="Times New Roman"/>
          <w:b/>
          <w:noProof/>
          <w:sz w:val="28"/>
          <w:szCs w:val="28"/>
          <w:lang w:val="en-US"/>
        </w:rPr>
        <w:pict>
          <v:shapetype id="_x0000_t202" coordsize="21600,21600" o:spt="202" path="m,l,21600r21600,l21600,xe">
            <v:stroke joinstyle="miter"/>
            <v:path gradientshapeok="t" o:connecttype="rect"/>
          </v:shapetype>
          <v:shape id="_x0000_s1026" type="#_x0000_t202" style="position:absolute;left:0;text-align:left;margin-left:380.1pt;margin-top:43.75pt;width:28.5pt;height:33.75pt;z-index:251658240" filled="f" stroked="f">
            <v:textbox style="mso-next-textbox:#_x0000_s1026">
              <w:txbxContent>
                <w:p w:rsidR="001E28BA" w:rsidRPr="001E28BA" w:rsidRDefault="001E28BA" w:rsidP="001E28BA">
                  <w:pPr>
                    <w:jc w:val="center"/>
                    <w:rPr>
                      <w:rFonts w:ascii="Times New Roman" w:hAnsi="Times New Roman"/>
                      <w:sz w:val="24"/>
                      <w:lang w:val="en-US"/>
                    </w:rPr>
                  </w:pPr>
                  <w:r>
                    <w:rPr>
                      <w:rFonts w:ascii="Times New Roman" w:hAnsi="Times New Roman"/>
                      <w:sz w:val="24"/>
                      <w:lang w:val="en-US"/>
                    </w:rPr>
                    <w:t>1</w:t>
                  </w:r>
                </w:p>
              </w:txbxContent>
            </v:textbox>
          </v:shape>
        </w:pict>
      </w:r>
    </w:p>
    <w:p w:rsidR="00D95422" w:rsidRPr="006660FA" w:rsidRDefault="00D95422" w:rsidP="00D95422">
      <w:pPr>
        <w:pStyle w:val="ListParagraph"/>
        <w:numPr>
          <w:ilvl w:val="0"/>
          <w:numId w:val="4"/>
        </w:numPr>
        <w:tabs>
          <w:tab w:val="left" w:pos="450"/>
        </w:tabs>
        <w:spacing w:after="0" w:line="360" w:lineRule="auto"/>
        <w:ind w:hanging="720"/>
        <w:jc w:val="both"/>
        <w:rPr>
          <w:rFonts w:ascii="Times New Roman" w:hAnsi="Times New Roman"/>
          <w:b/>
          <w:sz w:val="24"/>
        </w:rPr>
      </w:pPr>
      <w:r w:rsidRPr="006660FA">
        <w:rPr>
          <w:rFonts w:ascii="Times New Roman" w:hAnsi="Times New Roman"/>
          <w:b/>
          <w:sz w:val="24"/>
        </w:rPr>
        <w:lastRenderedPageBreak/>
        <w:t>PENDAHULUAN</w:t>
      </w:r>
    </w:p>
    <w:p w:rsidR="00D95422" w:rsidRDefault="00D67043" w:rsidP="00D95422">
      <w:pPr>
        <w:spacing w:line="360" w:lineRule="auto"/>
        <w:jc w:val="both"/>
        <w:rPr>
          <w:rFonts w:ascii="Times New Roman" w:hAnsi="Times New Roman"/>
          <w:b/>
          <w:sz w:val="24"/>
          <w:lang w:val="en-US"/>
        </w:rPr>
      </w:pPr>
      <w:r>
        <w:rPr>
          <w:rFonts w:ascii="Times New Roman" w:hAnsi="Times New Roman"/>
          <w:b/>
          <w:sz w:val="24"/>
        </w:rPr>
        <w:t>1.</w:t>
      </w:r>
      <w:r>
        <w:rPr>
          <w:rFonts w:ascii="Times New Roman" w:hAnsi="Times New Roman"/>
          <w:b/>
          <w:sz w:val="24"/>
          <w:lang w:val="en-US"/>
        </w:rPr>
        <w:t>1</w:t>
      </w:r>
      <w:r w:rsidR="00D95422" w:rsidRPr="006660FA">
        <w:rPr>
          <w:rFonts w:ascii="Times New Roman" w:hAnsi="Times New Roman"/>
          <w:b/>
          <w:sz w:val="24"/>
        </w:rPr>
        <w:t xml:space="preserve">   Latar Belakang</w:t>
      </w:r>
    </w:p>
    <w:p w:rsidR="00383A8B" w:rsidRDefault="00383A8B" w:rsidP="003E2113">
      <w:pPr>
        <w:pStyle w:val="NormalWeb"/>
        <w:spacing w:line="360" w:lineRule="auto"/>
        <w:ind w:firstLine="720"/>
        <w:jc w:val="both"/>
      </w:pPr>
      <w:r>
        <w:t xml:space="preserve">Di Indonesia gugatan perwakilan kelompok </w:t>
      </w:r>
      <w:r>
        <w:rPr>
          <w:i/>
        </w:rPr>
        <w:t>(class action</w:t>
      </w:r>
      <w:r w:rsidR="0090108B">
        <w:rPr>
          <w:i/>
        </w:rPr>
        <w:t>)</w:t>
      </w:r>
      <w:r>
        <w:rPr>
          <w:i/>
        </w:rPr>
        <w:t xml:space="preserve"> </w:t>
      </w:r>
      <w:r>
        <w:t xml:space="preserve">baru dikenal secara formil dan resmi </w:t>
      </w:r>
      <w:r>
        <w:rPr>
          <w:i/>
        </w:rPr>
        <w:t xml:space="preserve">(formal and official), 2002. </w:t>
      </w:r>
      <w:r>
        <w:t>Diatur dalam Peraturan Mahkamah Agung</w:t>
      </w:r>
      <w:r w:rsidR="0090108B">
        <w:t xml:space="preserve"> yaitu dalam PERMA Nomor 1 Tahun 2002.</w:t>
      </w:r>
      <w:r w:rsidR="0090108B">
        <w:rPr>
          <w:rStyle w:val="FootnoteReference"/>
        </w:rPr>
        <w:footnoteReference w:id="2"/>
      </w:r>
      <w:r w:rsidR="0090108B">
        <w:t xml:space="preserve"> </w:t>
      </w:r>
      <w:r>
        <w:t xml:space="preserve">Oleh karena baru mengenal konsep gugatan perwakilan </w:t>
      </w:r>
      <w:r w:rsidR="0090108B">
        <w:t>(</w:t>
      </w:r>
      <w:r w:rsidR="0090108B">
        <w:rPr>
          <w:rStyle w:val="Emphasis"/>
          <w:rFonts w:eastAsia="Calibri"/>
        </w:rPr>
        <w:t>class action</w:t>
      </w:r>
      <w:r>
        <w:rPr>
          <w:rStyle w:val="Emphasis"/>
          <w:rFonts w:eastAsia="Calibri"/>
        </w:rPr>
        <w:t>)</w:t>
      </w:r>
      <w:r w:rsidR="0090108B">
        <w:t xml:space="preserve">, maka </w:t>
      </w:r>
      <w:r>
        <w:t xml:space="preserve">kalangan praktisi hukum memberikan pengertian gugatan perwakilan </w:t>
      </w:r>
      <w:r w:rsidR="0090108B">
        <w:t>(</w:t>
      </w:r>
      <w:r w:rsidR="0090108B">
        <w:rPr>
          <w:rStyle w:val="Emphasis"/>
          <w:rFonts w:eastAsia="Calibri"/>
        </w:rPr>
        <w:t>class action</w:t>
      </w:r>
      <w:r>
        <w:rPr>
          <w:rStyle w:val="Emphasis"/>
          <w:rFonts w:eastAsia="Calibri"/>
        </w:rPr>
        <w:t xml:space="preserve">) </w:t>
      </w:r>
      <w:r>
        <w:t>identik</w:t>
      </w:r>
      <w:r w:rsidR="0090108B">
        <w:t xml:space="preserve"> atau sama dengan pengertian hak </w:t>
      </w:r>
      <w:r>
        <w:t>gugat</w:t>
      </w:r>
      <w:r w:rsidR="0090108B">
        <w:t>atan Lembaga Swadaya Masyarakat.</w:t>
      </w:r>
      <w:r>
        <w:t xml:space="preserve"> </w:t>
      </w:r>
      <w:r w:rsidR="0090108B">
        <w:t>P</w:t>
      </w:r>
      <w:r>
        <w:t>ada hal pengertian gugatan perwakilan (</w:t>
      </w:r>
      <w:r w:rsidR="0090108B">
        <w:rPr>
          <w:rStyle w:val="Emphasis"/>
          <w:rFonts w:eastAsia="Calibri"/>
        </w:rPr>
        <w:t>class action</w:t>
      </w:r>
      <w:r>
        <w:rPr>
          <w:rStyle w:val="Emphasis"/>
          <w:rFonts w:eastAsia="Calibri"/>
        </w:rPr>
        <w:t xml:space="preserve">) </w:t>
      </w:r>
      <w:r>
        <w:t xml:space="preserve">berbeda dengan pengertian </w:t>
      </w:r>
      <w:r w:rsidR="0090108B">
        <w:t xml:space="preserve">hak </w:t>
      </w:r>
      <w:r>
        <w:t xml:space="preserve">gugatan </w:t>
      </w:r>
      <w:r w:rsidR="0090108B">
        <w:t>Lembaga Swadaya Masyarakat.</w:t>
      </w:r>
    </w:p>
    <w:p w:rsidR="00BC1CA0" w:rsidRPr="004A7E7C" w:rsidRDefault="004A7E7C" w:rsidP="006E07CD">
      <w:pPr>
        <w:pStyle w:val="NormalWeb"/>
        <w:spacing w:line="360" w:lineRule="auto"/>
        <w:ind w:firstLine="720"/>
        <w:jc w:val="both"/>
      </w:pPr>
      <w:r>
        <w:t xml:space="preserve">Pada gugatan perwakilan kelompok </w:t>
      </w:r>
      <w:r>
        <w:rPr>
          <w:i/>
        </w:rPr>
        <w:t xml:space="preserve">(class action) </w:t>
      </w:r>
      <w:r>
        <w:t xml:space="preserve">penggugat adalah orang-orang atau manusia yang berjumlah satu orang atau lebih sebagai unsur wakil kelompok </w:t>
      </w:r>
      <w:r>
        <w:rPr>
          <w:i/>
        </w:rPr>
        <w:t xml:space="preserve">(class representative) </w:t>
      </w:r>
      <w:r>
        <w:t>dan anggota kelompok</w:t>
      </w:r>
      <w:r w:rsidR="00B74658">
        <w:t xml:space="preserve"> yang berjumlah besar</w:t>
      </w:r>
      <w:r>
        <w:t xml:space="preserve"> </w:t>
      </w:r>
      <w:r>
        <w:rPr>
          <w:i/>
        </w:rPr>
        <w:t>(class member)</w:t>
      </w:r>
      <w:r w:rsidR="00441DBA">
        <w:rPr>
          <w:rStyle w:val="FootnoteReference"/>
          <w:i/>
        </w:rPr>
        <w:footnoteReference w:id="3"/>
      </w:r>
      <w:r>
        <w:rPr>
          <w:i/>
        </w:rPr>
        <w:t xml:space="preserve">. </w:t>
      </w:r>
      <w:r>
        <w:t xml:space="preserve">Baik </w:t>
      </w:r>
      <w:r w:rsidR="00B74658">
        <w:t>wakil kelompok maupun anggota kelompok pada umumnya merupakan pihak korban yang mengalami kerugian nyata. Sedangkan Lembaga Swadaya Masyarakat sebagai penggugat bukan sebagai pihak korban yang mengalami kerugian nyata. Contohnya lembaga swadaya masyarakat mewakili kepentingan perlindungan lingkungan hidup sebagai ekosistem sangat penting untuk menunjang kehidupan orang banyak.</w:t>
      </w:r>
      <w:r w:rsidR="000A68B7">
        <w:t xml:space="preserve"> </w:t>
      </w:r>
    </w:p>
    <w:p w:rsidR="00D95422" w:rsidRPr="00D81FE8" w:rsidRDefault="00D81FE8" w:rsidP="00D95422">
      <w:pPr>
        <w:spacing w:before="120" w:line="360" w:lineRule="auto"/>
        <w:jc w:val="both"/>
        <w:rPr>
          <w:rFonts w:ascii="Times New Roman" w:hAnsi="Times New Roman"/>
          <w:b/>
          <w:sz w:val="24"/>
          <w:lang w:val="en-US"/>
        </w:rPr>
      </w:pPr>
      <w:r>
        <w:rPr>
          <w:rFonts w:ascii="Times New Roman" w:hAnsi="Times New Roman"/>
          <w:b/>
          <w:sz w:val="24"/>
        </w:rPr>
        <w:t>1.2   Tujuan</w:t>
      </w:r>
    </w:p>
    <w:p w:rsidR="006E07CD" w:rsidRDefault="00D81FE8" w:rsidP="00951FC2">
      <w:pPr>
        <w:tabs>
          <w:tab w:val="left" w:pos="450"/>
        </w:tabs>
        <w:autoSpaceDE w:val="0"/>
        <w:autoSpaceDN w:val="0"/>
        <w:adjustRightInd w:val="0"/>
        <w:spacing w:line="360" w:lineRule="auto"/>
        <w:jc w:val="both"/>
        <w:rPr>
          <w:rFonts w:ascii="Times New Roman" w:hAnsi="Times New Roman"/>
          <w:sz w:val="24"/>
          <w:szCs w:val="28"/>
          <w:lang w:val="en-US"/>
        </w:rPr>
      </w:pPr>
      <w:r>
        <w:rPr>
          <w:rFonts w:ascii="Times New Roman" w:hAnsi="Times New Roman"/>
          <w:sz w:val="24"/>
          <w:lang w:val="en-US"/>
        </w:rPr>
        <w:tab/>
      </w:r>
      <w:r w:rsidR="00D95422" w:rsidRPr="006660FA">
        <w:rPr>
          <w:rFonts w:ascii="Times New Roman" w:hAnsi="Times New Roman"/>
          <w:sz w:val="24"/>
        </w:rPr>
        <w:t xml:space="preserve">Tujuan dari penulisan ini adalah </w:t>
      </w:r>
      <w:r w:rsidR="00D95422" w:rsidRPr="006660FA">
        <w:rPr>
          <w:rFonts w:ascii="Times New Roman" w:hAnsi="Times New Roman"/>
          <w:sz w:val="24"/>
          <w:szCs w:val="28"/>
        </w:rPr>
        <w:t xml:space="preserve">untuk mengetahui </w:t>
      </w:r>
      <w:r>
        <w:rPr>
          <w:rFonts w:ascii="Times New Roman" w:hAnsi="Times New Roman"/>
          <w:sz w:val="24"/>
          <w:szCs w:val="28"/>
          <w:lang w:val="en-US"/>
        </w:rPr>
        <w:t xml:space="preserve">tata cara penerapan gugtatan perwakilan kelompok </w:t>
      </w:r>
      <w:r w:rsidRPr="00951FC2">
        <w:rPr>
          <w:rFonts w:ascii="Times New Roman" w:hAnsi="Times New Roman"/>
          <w:i/>
          <w:sz w:val="24"/>
          <w:szCs w:val="28"/>
          <w:lang w:val="en-US"/>
        </w:rPr>
        <w:t>(class action)</w:t>
      </w:r>
      <w:r>
        <w:rPr>
          <w:rFonts w:ascii="Times New Roman" w:hAnsi="Times New Roman"/>
          <w:sz w:val="24"/>
          <w:szCs w:val="28"/>
          <w:lang w:val="en-US"/>
        </w:rPr>
        <w:t xml:space="preserve"> dan hak gugatan lembaga swadaya masyarakat dalam penyelesaian sengketa di Indonesia.</w:t>
      </w:r>
    </w:p>
    <w:p w:rsidR="00D95422" w:rsidRPr="00D81FE8" w:rsidRDefault="001E28BA" w:rsidP="00951FC2">
      <w:pPr>
        <w:tabs>
          <w:tab w:val="left" w:pos="450"/>
        </w:tabs>
        <w:autoSpaceDE w:val="0"/>
        <w:autoSpaceDN w:val="0"/>
        <w:adjustRightInd w:val="0"/>
        <w:spacing w:line="360" w:lineRule="auto"/>
        <w:jc w:val="both"/>
        <w:rPr>
          <w:rFonts w:ascii="Times New Roman" w:eastAsia="Times New Roman" w:hAnsi="Times New Roman"/>
          <w:b/>
          <w:sz w:val="28"/>
          <w:szCs w:val="28"/>
          <w:lang w:val="en-US" w:eastAsia="id-ID"/>
        </w:rPr>
      </w:pPr>
      <w:r>
        <w:rPr>
          <w:rFonts w:ascii="Times New Roman" w:hAnsi="Times New Roman"/>
          <w:b/>
          <w:noProof/>
          <w:sz w:val="24"/>
          <w:lang w:val="en-US"/>
        </w:rPr>
        <w:pict>
          <v:shape id="_x0000_s1027" type="#_x0000_t202" style="position:absolute;left:0;text-align:left;margin-left:376.35pt;margin-top:121.8pt;width:28.5pt;height:33.75pt;z-index:251659264" filled="f" stroked="f">
            <v:textbox style="mso-next-textbox:#_x0000_s1027">
              <w:txbxContent>
                <w:p w:rsidR="001E28BA" w:rsidRPr="001E28BA" w:rsidRDefault="001E28BA" w:rsidP="001E28BA">
                  <w:pPr>
                    <w:jc w:val="center"/>
                    <w:rPr>
                      <w:rFonts w:ascii="Times New Roman" w:hAnsi="Times New Roman"/>
                      <w:sz w:val="24"/>
                      <w:lang w:val="en-US"/>
                    </w:rPr>
                  </w:pPr>
                  <w:r>
                    <w:rPr>
                      <w:rFonts w:ascii="Times New Roman" w:hAnsi="Times New Roman"/>
                      <w:sz w:val="24"/>
                      <w:lang w:val="en-US"/>
                    </w:rPr>
                    <w:t>2</w:t>
                  </w:r>
                </w:p>
              </w:txbxContent>
            </v:textbox>
          </v:shape>
        </w:pict>
      </w:r>
      <w:r w:rsidR="00D81FE8">
        <w:rPr>
          <w:rFonts w:ascii="Times New Roman" w:hAnsi="Times New Roman"/>
          <w:sz w:val="24"/>
          <w:szCs w:val="28"/>
          <w:lang w:val="en-US"/>
        </w:rPr>
        <w:t xml:space="preserve"> </w:t>
      </w:r>
    </w:p>
    <w:p w:rsidR="00D95422" w:rsidRPr="006660FA" w:rsidRDefault="00D95422" w:rsidP="00D81FE8">
      <w:pPr>
        <w:spacing w:before="120" w:line="240" w:lineRule="auto"/>
        <w:jc w:val="both"/>
        <w:rPr>
          <w:rFonts w:ascii="Times New Roman" w:hAnsi="Times New Roman"/>
          <w:sz w:val="24"/>
        </w:rPr>
      </w:pPr>
      <w:r w:rsidRPr="006660FA">
        <w:rPr>
          <w:rFonts w:ascii="Times New Roman" w:hAnsi="Times New Roman"/>
          <w:b/>
          <w:sz w:val="24"/>
        </w:rPr>
        <w:lastRenderedPageBreak/>
        <w:t>II.   ISI MAKALAH</w:t>
      </w:r>
    </w:p>
    <w:p w:rsidR="00D95422" w:rsidRPr="006660FA" w:rsidRDefault="00D95422" w:rsidP="00D95422">
      <w:pPr>
        <w:spacing w:line="360" w:lineRule="auto"/>
        <w:jc w:val="both"/>
        <w:rPr>
          <w:rFonts w:ascii="Times New Roman" w:hAnsi="Times New Roman"/>
          <w:b/>
          <w:sz w:val="24"/>
        </w:rPr>
      </w:pPr>
      <w:r w:rsidRPr="006660FA">
        <w:rPr>
          <w:rFonts w:ascii="Times New Roman" w:hAnsi="Times New Roman"/>
          <w:b/>
          <w:sz w:val="24"/>
        </w:rPr>
        <w:t>2.1  Metode Penelitian</w:t>
      </w:r>
    </w:p>
    <w:p w:rsidR="00D95422" w:rsidRPr="006D7834" w:rsidRDefault="00D95422" w:rsidP="003E2113">
      <w:pPr>
        <w:spacing w:line="360" w:lineRule="auto"/>
        <w:ind w:firstLine="426"/>
        <w:jc w:val="both"/>
        <w:rPr>
          <w:rFonts w:ascii="Times New Roman" w:hAnsi="Times New Roman"/>
          <w:bCs/>
          <w:sz w:val="24"/>
          <w:lang w:val="en-US"/>
        </w:rPr>
      </w:pPr>
      <w:r w:rsidRPr="006660FA">
        <w:rPr>
          <w:rFonts w:ascii="Times New Roman" w:hAnsi="Times New Roman"/>
          <w:bCs/>
          <w:sz w:val="24"/>
        </w:rPr>
        <w:t xml:space="preserve">Penulisan ini menggunakan </w:t>
      </w:r>
      <w:r w:rsidR="00D81FE8">
        <w:rPr>
          <w:rFonts w:ascii="Times New Roman" w:hAnsi="Times New Roman"/>
          <w:bCs/>
          <w:sz w:val="24"/>
        </w:rPr>
        <w:t>metode</w:t>
      </w:r>
      <w:r w:rsidR="00B24EEA">
        <w:rPr>
          <w:rFonts w:ascii="Times New Roman" w:hAnsi="Times New Roman"/>
          <w:bCs/>
          <w:sz w:val="24"/>
        </w:rPr>
        <w:t xml:space="preserve"> penelitian hukum </w:t>
      </w:r>
      <w:r w:rsidR="00B24EEA">
        <w:rPr>
          <w:rFonts w:ascii="Times New Roman" w:hAnsi="Times New Roman"/>
          <w:bCs/>
          <w:sz w:val="24"/>
          <w:lang w:val="en-US"/>
        </w:rPr>
        <w:t>normatif, yaitu penelitian yang dilakukan untuk menghasilkan argumentasi, teori atau konsep baru bagi preskripsi dalam menyelesaikan masal</w:t>
      </w:r>
      <w:r w:rsidR="00D81FE8">
        <w:rPr>
          <w:rFonts w:ascii="Times New Roman" w:hAnsi="Times New Roman"/>
          <w:bCs/>
          <w:sz w:val="24"/>
          <w:lang w:val="en-US"/>
        </w:rPr>
        <w:t>ah yang dihadap</w:t>
      </w:r>
      <w:r w:rsidR="00B24EEA">
        <w:rPr>
          <w:rFonts w:ascii="Times New Roman" w:hAnsi="Times New Roman"/>
          <w:bCs/>
          <w:sz w:val="24"/>
          <w:lang w:val="en-US"/>
        </w:rPr>
        <w:t>i</w:t>
      </w:r>
      <w:r w:rsidR="00B24EEA">
        <w:rPr>
          <w:rFonts w:ascii="Times New Roman" w:hAnsi="Times New Roman"/>
          <w:sz w:val="24"/>
          <w:lang w:val="en-US"/>
        </w:rPr>
        <w:t xml:space="preserve">. </w:t>
      </w:r>
      <w:r w:rsidR="006D7834">
        <w:rPr>
          <w:rFonts w:ascii="Times New Roman" w:hAnsi="Times New Roman"/>
          <w:sz w:val="24"/>
          <w:lang w:val="en-US"/>
        </w:rPr>
        <w:t xml:space="preserve">Sumber bahan hukum </w:t>
      </w:r>
      <w:r w:rsidR="00B24EEA">
        <w:rPr>
          <w:rFonts w:ascii="Times New Roman" w:hAnsi="Times New Roman"/>
          <w:sz w:val="24"/>
          <w:lang w:val="en-US"/>
        </w:rPr>
        <w:t xml:space="preserve">yang digunakan </w:t>
      </w:r>
      <w:r w:rsidR="006D7834">
        <w:rPr>
          <w:rFonts w:ascii="Times New Roman" w:hAnsi="Times New Roman"/>
          <w:sz w:val="24"/>
          <w:lang w:val="en-US"/>
        </w:rPr>
        <w:t>dalam penelitian ini adalah bahan hukum primer dan bahan hukum</w:t>
      </w:r>
      <w:r w:rsidR="00B24EEA">
        <w:rPr>
          <w:rFonts w:ascii="Times New Roman" w:hAnsi="Times New Roman"/>
          <w:sz w:val="24"/>
          <w:lang w:val="en-US"/>
        </w:rPr>
        <w:t xml:space="preserve"> sekunder.</w:t>
      </w:r>
      <w:r w:rsidRPr="006660FA">
        <w:rPr>
          <w:rFonts w:ascii="Times New Roman" w:hAnsi="Times New Roman"/>
          <w:sz w:val="24"/>
        </w:rPr>
        <w:t xml:space="preserve"> </w:t>
      </w:r>
      <w:r w:rsidRPr="006660FA">
        <w:rPr>
          <w:rFonts w:ascii="Times New Roman" w:hAnsi="Times New Roman"/>
          <w:bCs/>
          <w:sz w:val="24"/>
        </w:rPr>
        <w:t>Pendekatan yang dilakukan dalam penelitian ini adalah pendekatan</w:t>
      </w:r>
      <w:r w:rsidR="00B24EEA">
        <w:rPr>
          <w:rFonts w:ascii="Times New Roman" w:hAnsi="Times New Roman"/>
          <w:bCs/>
          <w:sz w:val="24"/>
        </w:rPr>
        <w:t xml:space="preserve"> perundang-undangan</w:t>
      </w:r>
      <w:r w:rsidR="00B24EEA">
        <w:rPr>
          <w:rFonts w:ascii="Times New Roman" w:hAnsi="Times New Roman"/>
          <w:bCs/>
          <w:sz w:val="24"/>
          <w:lang w:val="en-US"/>
        </w:rPr>
        <w:t xml:space="preserve"> dan pendekatan analisis konsep</w:t>
      </w:r>
      <w:r w:rsidRPr="006660FA">
        <w:rPr>
          <w:rFonts w:ascii="Times New Roman" w:hAnsi="Times New Roman"/>
          <w:bCs/>
          <w:sz w:val="24"/>
        </w:rPr>
        <w:t>.</w:t>
      </w:r>
    </w:p>
    <w:p w:rsidR="00D95422" w:rsidRPr="006660FA" w:rsidRDefault="00D95422" w:rsidP="00CF12F7">
      <w:pPr>
        <w:pStyle w:val="ListParagraph"/>
        <w:spacing w:before="120" w:line="240" w:lineRule="auto"/>
        <w:ind w:left="432" w:hanging="432"/>
        <w:contextualSpacing w:val="0"/>
        <w:jc w:val="both"/>
        <w:rPr>
          <w:rFonts w:ascii="Times New Roman" w:hAnsi="Times New Roman"/>
          <w:b/>
          <w:sz w:val="24"/>
        </w:rPr>
      </w:pPr>
      <w:r w:rsidRPr="006660FA">
        <w:rPr>
          <w:rFonts w:ascii="Times New Roman" w:hAnsi="Times New Roman"/>
          <w:b/>
          <w:sz w:val="24"/>
        </w:rPr>
        <w:t xml:space="preserve">2.2 Hasil dan Pembahasan </w:t>
      </w:r>
    </w:p>
    <w:p w:rsidR="00F315C1" w:rsidRDefault="00D95422" w:rsidP="00D95422">
      <w:pPr>
        <w:tabs>
          <w:tab w:val="right" w:leader="dot" w:pos="7513"/>
          <w:tab w:val="right" w:pos="7937"/>
        </w:tabs>
        <w:spacing w:line="360" w:lineRule="auto"/>
        <w:jc w:val="both"/>
        <w:rPr>
          <w:rFonts w:ascii="Times New Roman" w:hAnsi="Times New Roman"/>
          <w:b/>
          <w:sz w:val="24"/>
          <w:lang w:val="en-US"/>
        </w:rPr>
      </w:pPr>
      <w:r w:rsidRPr="006660FA">
        <w:rPr>
          <w:rFonts w:ascii="Times New Roman" w:hAnsi="Times New Roman"/>
          <w:b/>
          <w:sz w:val="24"/>
        </w:rPr>
        <w:t>2.2.1</w:t>
      </w:r>
      <w:r w:rsidR="00F315C1">
        <w:rPr>
          <w:rFonts w:ascii="Times New Roman" w:hAnsi="Times New Roman"/>
          <w:b/>
          <w:sz w:val="24"/>
          <w:lang w:val="en-US"/>
        </w:rPr>
        <w:t xml:space="preserve"> Konsep Hak Gugatan LSM Berbeda Dengan Class Action</w:t>
      </w:r>
    </w:p>
    <w:p w:rsidR="00F315C1" w:rsidRDefault="00F315C1" w:rsidP="00D95422">
      <w:pPr>
        <w:tabs>
          <w:tab w:val="right" w:leader="dot" w:pos="7513"/>
          <w:tab w:val="right" w:pos="7937"/>
        </w:tabs>
        <w:spacing w:line="360" w:lineRule="auto"/>
        <w:jc w:val="both"/>
        <w:rPr>
          <w:rFonts w:ascii="Times New Roman" w:hAnsi="Times New Roman"/>
          <w:i/>
          <w:sz w:val="24"/>
          <w:lang w:val="en-US"/>
        </w:rPr>
      </w:pPr>
      <w:r>
        <w:rPr>
          <w:rFonts w:ascii="Times New Roman" w:hAnsi="Times New Roman"/>
          <w:sz w:val="24"/>
          <w:lang w:val="en-US"/>
        </w:rPr>
        <w:t xml:space="preserve">1. Konsep Class Action berdasarkan </w:t>
      </w:r>
      <w:r>
        <w:rPr>
          <w:rFonts w:ascii="Times New Roman" w:hAnsi="Times New Roman"/>
          <w:i/>
          <w:sz w:val="24"/>
          <w:lang w:val="en-US"/>
        </w:rPr>
        <w:t>commonality</w:t>
      </w:r>
    </w:p>
    <w:p w:rsidR="002238AF" w:rsidRDefault="00F315C1" w:rsidP="003B39D2">
      <w:pPr>
        <w:tabs>
          <w:tab w:val="right" w:leader="dot" w:pos="7513"/>
          <w:tab w:val="right" w:pos="7937"/>
        </w:tabs>
        <w:spacing w:line="360" w:lineRule="auto"/>
        <w:ind w:firstLine="720"/>
        <w:jc w:val="both"/>
        <w:rPr>
          <w:rFonts w:ascii="Times New Roman" w:hAnsi="Times New Roman"/>
          <w:i/>
          <w:sz w:val="24"/>
          <w:lang w:val="en-US"/>
        </w:rPr>
      </w:pPr>
      <w:r>
        <w:rPr>
          <w:rFonts w:ascii="Times New Roman" w:hAnsi="Times New Roman"/>
          <w:sz w:val="24"/>
          <w:lang w:val="en-US"/>
        </w:rPr>
        <w:t xml:space="preserve">Landasan utama konsep </w:t>
      </w:r>
      <w:r>
        <w:rPr>
          <w:rFonts w:ascii="Times New Roman" w:hAnsi="Times New Roman"/>
          <w:i/>
          <w:sz w:val="24"/>
          <w:lang w:val="en-US"/>
        </w:rPr>
        <w:t xml:space="preserve">class action </w:t>
      </w:r>
      <w:r>
        <w:rPr>
          <w:rFonts w:ascii="Times New Roman" w:hAnsi="Times New Roman"/>
          <w:sz w:val="24"/>
          <w:lang w:val="en-US"/>
        </w:rPr>
        <w:t xml:space="preserve">adalah asas atau syarat </w:t>
      </w:r>
      <w:r>
        <w:rPr>
          <w:rFonts w:ascii="Times New Roman" w:hAnsi="Times New Roman"/>
          <w:i/>
          <w:sz w:val="24"/>
          <w:lang w:val="en-US"/>
        </w:rPr>
        <w:t xml:space="preserve">commonality, </w:t>
      </w:r>
      <w:r>
        <w:rPr>
          <w:rFonts w:ascii="Times New Roman" w:hAnsi="Times New Roman"/>
          <w:sz w:val="24"/>
          <w:lang w:val="en-US"/>
        </w:rPr>
        <w:t>yaitu prinsip kesamaan yang berkenaan dengan fakta atau dasar hukum dan kesamaan tuntutan hukum.</w:t>
      </w:r>
      <w:r w:rsidR="002238AF">
        <w:rPr>
          <w:rFonts w:ascii="Times New Roman" w:hAnsi="Times New Roman"/>
          <w:sz w:val="24"/>
          <w:lang w:val="en-US"/>
        </w:rPr>
        <w:t xml:space="preserve"> Unsur-unsur yang harus dipenuhi dalam menegakan penerapan kesamaan dalam sistem </w:t>
      </w:r>
      <w:r w:rsidR="002238AF">
        <w:rPr>
          <w:rFonts w:ascii="Times New Roman" w:hAnsi="Times New Roman"/>
          <w:i/>
          <w:sz w:val="24"/>
          <w:lang w:val="en-US"/>
        </w:rPr>
        <w:t>class action :</w:t>
      </w:r>
    </w:p>
    <w:p w:rsidR="002238AF" w:rsidRPr="002238AF" w:rsidRDefault="002238AF" w:rsidP="002238AF">
      <w:pPr>
        <w:pStyle w:val="ListParagraph"/>
        <w:numPr>
          <w:ilvl w:val="0"/>
          <w:numId w:val="7"/>
        </w:numPr>
        <w:tabs>
          <w:tab w:val="right" w:leader="dot" w:pos="7513"/>
          <w:tab w:val="right" w:pos="7937"/>
        </w:tabs>
        <w:spacing w:line="360" w:lineRule="auto"/>
        <w:jc w:val="both"/>
        <w:rPr>
          <w:rFonts w:ascii="Times New Roman" w:hAnsi="Times New Roman"/>
          <w:b/>
          <w:sz w:val="24"/>
          <w:lang w:val="en-US"/>
        </w:rPr>
      </w:pPr>
      <w:r>
        <w:rPr>
          <w:rFonts w:ascii="Times New Roman" w:hAnsi="Times New Roman"/>
          <w:sz w:val="24"/>
          <w:lang w:val="en-US"/>
        </w:rPr>
        <w:t xml:space="preserve">Wakil kelompok </w:t>
      </w:r>
      <w:r>
        <w:rPr>
          <w:rFonts w:ascii="Times New Roman" w:hAnsi="Times New Roman"/>
          <w:i/>
          <w:sz w:val="24"/>
          <w:lang w:val="en-US"/>
        </w:rPr>
        <w:t>(class representative)</w:t>
      </w:r>
    </w:p>
    <w:p w:rsidR="002238AF" w:rsidRDefault="002238AF" w:rsidP="002238AF">
      <w:pPr>
        <w:pStyle w:val="ListParagraph"/>
        <w:tabs>
          <w:tab w:val="right" w:leader="dot" w:pos="7513"/>
          <w:tab w:val="right" w:pos="7937"/>
        </w:tabs>
        <w:spacing w:line="360" w:lineRule="auto"/>
        <w:jc w:val="both"/>
        <w:rPr>
          <w:rFonts w:ascii="Times New Roman" w:hAnsi="Times New Roman"/>
          <w:sz w:val="24"/>
          <w:lang w:val="en-US"/>
        </w:rPr>
      </w:pPr>
      <w:r>
        <w:rPr>
          <w:rFonts w:ascii="Times New Roman" w:hAnsi="Times New Roman"/>
          <w:sz w:val="24"/>
          <w:lang w:val="en-US"/>
        </w:rPr>
        <w:t>Bertindak mengambil inisiatif sebagai penggugat mengajukan gugatan untuk dan atas nama d</w:t>
      </w:r>
      <w:r w:rsidR="00BC1CA0">
        <w:rPr>
          <w:rFonts w:ascii="Times New Roman" w:hAnsi="Times New Roman"/>
          <w:sz w:val="24"/>
          <w:lang w:val="en-US"/>
        </w:rPr>
        <w:t>iri sendiri serta</w:t>
      </w:r>
      <w:r>
        <w:rPr>
          <w:rFonts w:ascii="Times New Roman" w:hAnsi="Times New Roman"/>
          <w:sz w:val="24"/>
          <w:lang w:val="en-US"/>
        </w:rPr>
        <w:t xml:space="preserve"> atas nama seluruh anggota</w:t>
      </w:r>
      <w:r w:rsidR="00BC1CA0">
        <w:rPr>
          <w:rFonts w:ascii="Times New Roman" w:hAnsi="Times New Roman"/>
          <w:sz w:val="24"/>
          <w:lang w:val="en-US"/>
        </w:rPr>
        <w:t xml:space="preserve"> kelompok.</w:t>
      </w:r>
    </w:p>
    <w:p w:rsidR="002238AF" w:rsidRPr="002238AF" w:rsidRDefault="002238AF" w:rsidP="002238AF">
      <w:pPr>
        <w:pStyle w:val="ListParagraph"/>
        <w:numPr>
          <w:ilvl w:val="0"/>
          <w:numId w:val="7"/>
        </w:numPr>
        <w:tabs>
          <w:tab w:val="right" w:leader="dot" w:pos="7513"/>
          <w:tab w:val="right" w:pos="7937"/>
        </w:tabs>
        <w:spacing w:line="360" w:lineRule="auto"/>
        <w:jc w:val="both"/>
        <w:rPr>
          <w:rFonts w:ascii="Times New Roman" w:hAnsi="Times New Roman"/>
          <w:b/>
          <w:sz w:val="24"/>
          <w:lang w:val="en-US"/>
        </w:rPr>
      </w:pPr>
      <w:r>
        <w:rPr>
          <w:rFonts w:ascii="Times New Roman" w:hAnsi="Times New Roman"/>
          <w:sz w:val="24"/>
          <w:lang w:val="en-US"/>
        </w:rPr>
        <w:t xml:space="preserve">Anggota kelompok </w:t>
      </w:r>
      <w:r>
        <w:rPr>
          <w:rFonts w:ascii="Times New Roman" w:hAnsi="Times New Roman"/>
          <w:i/>
          <w:sz w:val="24"/>
          <w:lang w:val="en-US"/>
        </w:rPr>
        <w:t>(class member)</w:t>
      </w:r>
    </w:p>
    <w:p w:rsidR="002238AF" w:rsidRDefault="002238AF" w:rsidP="002238AF">
      <w:pPr>
        <w:pStyle w:val="ListParagraph"/>
        <w:tabs>
          <w:tab w:val="right" w:leader="dot" w:pos="7513"/>
          <w:tab w:val="right" w:pos="7937"/>
        </w:tabs>
        <w:spacing w:line="360" w:lineRule="auto"/>
        <w:jc w:val="both"/>
        <w:rPr>
          <w:rFonts w:ascii="Times New Roman" w:hAnsi="Times New Roman"/>
          <w:sz w:val="24"/>
          <w:lang w:val="en-US"/>
        </w:rPr>
      </w:pPr>
      <w:r>
        <w:rPr>
          <w:rFonts w:ascii="Times New Roman" w:hAnsi="Times New Roman"/>
          <w:sz w:val="24"/>
          <w:lang w:val="en-US"/>
        </w:rPr>
        <w:t>Diwakili oleh wakil kelompok tanpa memerlukan surat kuasa dari mereka.</w:t>
      </w:r>
    </w:p>
    <w:p w:rsidR="002238AF" w:rsidRPr="002238AF" w:rsidRDefault="002238AF" w:rsidP="002238AF">
      <w:pPr>
        <w:pStyle w:val="ListParagraph"/>
        <w:numPr>
          <w:ilvl w:val="0"/>
          <w:numId w:val="7"/>
        </w:numPr>
        <w:tabs>
          <w:tab w:val="right" w:leader="dot" w:pos="7513"/>
          <w:tab w:val="right" w:pos="7937"/>
        </w:tabs>
        <w:spacing w:line="360" w:lineRule="auto"/>
        <w:jc w:val="both"/>
        <w:rPr>
          <w:rFonts w:ascii="Times New Roman" w:hAnsi="Times New Roman"/>
          <w:b/>
          <w:sz w:val="24"/>
          <w:lang w:val="en-US"/>
        </w:rPr>
      </w:pPr>
      <w:r>
        <w:rPr>
          <w:rFonts w:ascii="Times New Roman" w:hAnsi="Times New Roman"/>
          <w:sz w:val="24"/>
          <w:lang w:val="en-US"/>
        </w:rPr>
        <w:t>Wakil kelompok dan anggota kelompok mengalami permasalahan yang sama</w:t>
      </w:r>
    </w:p>
    <w:p w:rsidR="002238AF" w:rsidRDefault="002238AF" w:rsidP="002238AF">
      <w:pPr>
        <w:pStyle w:val="ListParagraph"/>
        <w:tabs>
          <w:tab w:val="right" w:leader="dot" w:pos="7513"/>
          <w:tab w:val="right" w:pos="7937"/>
        </w:tabs>
        <w:spacing w:line="360" w:lineRule="auto"/>
        <w:jc w:val="both"/>
        <w:rPr>
          <w:rFonts w:ascii="Times New Roman" w:hAnsi="Times New Roman"/>
          <w:sz w:val="24"/>
          <w:lang w:val="en-US"/>
        </w:rPr>
      </w:pPr>
      <w:r>
        <w:rPr>
          <w:rFonts w:ascii="Times New Roman" w:hAnsi="Times New Roman"/>
          <w:sz w:val="24"/>
          <w:lang w:val="en-US"/>
        </w:rPr>
        <w:t>Persamaan yang sama meliputi :</w:t>
      </w:r>
    </w:p>
    <w:p w:rsidR="002238AF" w:rsidRDefault="002238AF" w:rsidP="002238AF">
      <w:pPr>
        <w:pStyle w:val="ListParagraph"/>
        <w:tabs>
          <w:tab w:val="right" w:leader="dot" w:pos="7513"/>
          <w:tab w:val="right" w:pos="7937"/>
        </w:tabs>
        <w:spacing w:line="360" w:lineRule="auto"/>
        <w:jc w:val="both"/>
        <w:rPr>
          <w:rFonts w:ascii="Times New Roman" w:hAnsi="Times New Roman"/>
          <w:sz w:val="24"/>
          <w:lang w:val="en-US"/>
        </w:rPr>
      </w:pPr>
      <w:r>
        <w:rPr>
          <w:rFonts w:ascii="Times New Roman" w:hAnsi="Times New Roman"/>
          <w:sz w:val="24"/>
          <w:lang w:val="en-US"/>
        </w:rPr>
        <w:t>Fakta dan dasar hukum yang sama, dan tuntutan penyelesaian ganti rugi yang sama. Dengan demikian, wakil maupun anggota kelompok sama-sama merupakan korban dan mengalami kerugian nyata yang sama.</w:t>
      </w:r>
    </w:p>
    <w:p w:rsidR="002238AF" w:rsidRDefault="001E28BA" w:rsidP="002238AF">
      <w:pPr>
        <w:tabs>
          <w:tab w:val="right" w:leader="dot" w:pos="7513"/>
          <w:tab w:val="right" w:pos="7937"/>
        </w:tabs>
        <w:spacing w:line="360" w:lineRule="auto"/>
        <w:jc w:val="both"/>
        <w:rPr>
          <w:rFonts w:ascii="Times New Roman" w:hAnsi="Times New Roman"/>
          <w:sz w:val="24"/>
          <w:lang w:val="en-US"/>
        </w:rPr>
      </w:pPr>
      <w:r>
        <w:rPr>
          <w:rFonts w:ascii="Times New Roman" w:hAnsi="Times New Roman"/>
          <w:noProof/>
          <w:sz w:val="24"/>
          <w:lang w:val="en-US"/>
        </w:rPr>
        <w:pict>
          <v:shape id="_x0000_s1028" type="#_x0000_t202" style="position:absolute;left:0;text-align:left;margin-left:382.35pt;margin-top:35.55pt;width:28.5pt;height:33.75pt;z-index:251660288" filled="f" stroked="f">
            <v:textbox style="mso-next-textbox:#_x0000_s1028">
              <w:txbxContent>
                <w:p w:rsidR="001E28BA" w:rsidRPr="001E28BA" w:rsidRDefault="001E28BA" w:rsidP="001E28BA">
                  <w:pPr>
                    <w:jc w:val="center"/>
                    <w:rPr>
                      <w:rFonts w:ascii="Times New Roman" w:hAnsi="Times New Roman"/>
                      <w:sz w:val="24"/>
                      <w:lang w:val="en-US"/>
                    </w:rPr>
                  </w:pPr>
                  <w:r>
                    <w:rPr>
                      <w:rFonts w:ascii="Times New Roman" w:hAnsi="Times New Roman"/>
                      <w:sz w:val="24"/>
                      <w:lang w:val="en-US"/>
                    </w:rPr>
                    <w:t>3</w:t>
                  </w:r>
                </w:p>
              </w:txbxContent>
            </v:textbox>
          </v:shape>
        </w:pict>
      </w:r>
      <w:r w:rsidR="002238AF">
        <w:rPr>
          <w:rFonts w:ascii="Times New Roman" w:hAnsi="Times New Roman"/>
          <w:sz w:val="24"/>
          <w:lang w:val="en-US"/>
        </w:rPr>
        <w:t xml:space="preserve">2. </w:t>
      </w:r>
      <w:r w:rsidR="00AA79BB">
        <w:rPr>
          <w:rFonts w:ascii="Times New Roman" w:hAnsi="Times New Roman"/>
          <w:sz w:val="24"/>
          <w:lang w:val="en-US"/>
        </w:rPr>
        <w:t>Konsep Gugatan LSM Berdasarkan Pemberian Hak oleh Undang-undang</w:t>
      </w:r>
    </w:p>
    <w:p w:rsidR="00AA79BB" w:rsidRDefault="00AA79BB" w:rsidP="003B39D2">
      <w:pPr>
        <w:tabs>
          <w:tab w:val="right" w:leader="dot" w:pos="7513"/>
          <w:tab w:val="right" w:pos="7937"/>
        </w:tabs>
        <w:spacing w:line="360" w:lineRule="auto"/>
        <w:ind w:firstLine="720"/>
        <w:jc w:val="both"/>
        <w:rPr>
          <w:rFonts w:ascii="Times New Roman" w:hAnsi="Times New Roman"/>
          <w:sz w:val="24"/>
          <w:lang w:val="en-US"/>
        </w:rPr>
      </w:pPr>
      <w:r>
        <w:rPr>
          <w:rFonts w:ascii="Times New Roman" w:hAnsi="Times New Roman"/>
          <w:sz w:val="24"/>
          <w:lang w:val="en-US"/>
        </w:rPr>
        <w:lastRenderedPageBreak/>
        <w:t>LSM bertindak mengajukan gugatan bukan sebagai pihak yang mengalami kerugian nyata. Dalam hal ini, LSM bertindak mengajukan gugatan mewakili kepentingan tertentu berdasarkan sistem pemberian hak gugatan kepada organisasi tertentu oleh undang-undang, contohnya :</w:t>
      </w:r>
    </w:p>
    <w:p w:rsidR="00AA79BB" w:rsidRDefault="00AA79BB" w:rsidP="00AA79BB">
      <w:pPr>
        <w:pStyle w:val="ListParagraph"/>
        <w:numPr>
          <w:ilvl w:val="0"/>
          <w:numId w:val="8"/>
        </w:numPr>
        <w:tabs>
          <w:tab w:val="right" w:leader="dot" w:pos="7513"/>
          <w:tab w:val="right" w:pos="7937"/>
        </w:tabs>
        <w:spacing w:line="360" w:lineRule="auto"/>
        <w:jc w:val="both"/>
        <w:rPr>
          <w:rFonts w:ascii="Times New Roman" w:hAnsi="Times New Roman"/>
          <w:sz w:val="24"/>
          <w:lang w:val="en-US"/>
        </w:rPr>
      </w:pPr>
      <w:r>
        <w:rPr>
          <w:rFonts w:ascii="Times New Roman" w:hAnsi="Times New Roman"/>
          <w:sz w:val="24"/>
          <w:lang w:val="en-US"/>
        </w:rPr>
        <w:t>Pasal 38 UU No. 23 Tahun 1997 (UUPLH) memberi hak gugatan kepada LSM untuk mengajukan gugatan dan tuntutan atas nama kepentingan perlindungan lingkungan hidup.</w:t>
      </w:r>
    </w:p>
    <w:p w:rsidR="00F315C1" w:rsidRPr="00AA79BB" w:rsidRDefault="00AA79BB" w:rsidP="003B39D2">
      <w:pPr>
        <w:tabs>
          <w:tab w:val="right" w:leader="dot" w:pos="7513"/>
          <w:tab w:val="right" w:pos="7937"/>
        </w:tabs>
        <w:spacing w:line="360" w:lineRule="auto"/>
        <w:ind w:firstLine="720"/>
        <w:jc w:val="both"/>
        <w:rPr>
          <w:rFonts w:ascii="Times New Roman" w:hAnsi="Times New Roman"/>
          <w:sz w:val="24"/>
          <w:lang w:val="en-US"/>
        </w:rPr>
      </w:pPr>
      <w:r>
        <w:rPr>
          <w:rFonts w:ascii="Times New Roman" w:hAnsi="Times New Roman"/>
          <w:sz w:val="24"/>
          <w:lang w:val="en-US"/>
        </w:rPr>
        <w:t xml:space="preserve">Dengan demikian, LSM yang bertindak mengajukan gugatan meskipun mengatasnamakan kepentingan kelompok tertentu, bukan pihak yang mengalami kerugian. Tindakannya mengajukan gugatan mewakili kepentingan kelompok atau kepentingan umum, bukan berdasarkan konsep </w:t>
      </w:r>
      <w:r>
        <w:rPr>
          <w:rFonts w:ascii="Times New Roman" w:hAnsi="Times New Roman"/>
          <w:i/>
          <w:sz w:val="24"/>
          <w:lang w:val="en-US"/>
        </w:rPr>
        <w:t>commonality.</w:t>
      </w:r>
    </w:p>
    <w:p w:rsidR="00D95422" w:rsidRDefault="00920A71" w:rsidP="00D95422">
      <w:pPr>
        <w:spacing w:before="120" w:line="360" w:lineRule="auto"/>
        <w:ind w:left="706" w:hanging="706"/>
        <w:jc w:val="both"/>
        <w:rPr>
          <w:rFonts w:ascii="Times New Roman" w:hAnsi="Times New Roman"/>
          <w:b/>
          <w:sz w:val="24"/>
          <w:lang w:val="en-US"/>
        </w:rPr>
      </w:pPr>
      <w:r>
        <w:rPr>
          <w:rFonts w:ascii="Times New Roman" w:hAnsi="Times New Roman"/>
          <w:b/>
          <w:sz w:val="24"/>
        </w:rPr>
        <w:t>2.2.2</w:t>
      </w:r>
      <w:r>
        <w:rPr>
          <w:rFonts w:ascii="Times New Roman" w:hAnsi="Times New Roman"/>
          <w:b/>
          <w:sz w:val="24"/>
          <w:lang w:val="en-US"/>
        </w:rPr>
        <w:t xml:space="preserve"> </w:t>
      </w:r>
      <w:r w:rsidR="00B34E08">
        <w:rPr>
          <w:rFonts w:ascii="Times New Roman" w:hAnsi="Times New Roman"/>
          <w:b/>
          <w:sz w:val="24"/>
          <w:lang w:val="en-US"/>
        </w:rPr>
        <w:t xml:space="preserve">Penerapan </w:t>
      </w:r>
      <w:r w:rsidR="00A62D9F">
        <w:rPr>
          <w:rFonts w:ascii="Times New Roman" w:hAnsi="Times New Roman"/>
          <w:b/>
          <w:sz w:val="24"/>
          <w:lang w:val="en-US"/>
        </w:rPr>
        <w:t xml:space="preserve">Gugatan Perwakilan Kelompok </w:t>
      </w:r>
      <w:r w:rsidR="00A62D9F">
        <w:rPr>
          <w:rFonts w:ascii="Times New Roman" w:hAnsi="Times New Roman"/>
          <w:b/>
          <w:i/>
          <w:sz w:val="24"/>
          <w:lang w:val="en-US"/>
        </w:rPr>
        <w:t xml:space="preserve">(class action) </w:t>
      </w:r>
      <w:r w:rsidR="00A62D9F">
        <w:rPr>
          <w:rFonts w:ascii="Times New Roman" w:hAnsi="Times New Roman"/>
          <w:b/>
          <w:sz w:val="24"/>
          <w:lang w:val="en-US"/>
        </w:rPr>
        <w:t>dan Hak Gugat</w:t>
      </w:r>
      <w:r w:rsidR="0001468E">
        <w:rPr>
          <w:rFonts w:ascii="Times New Roman" w:hAnsi="Times New Roman"/>
          <w:b/>
          <w:sz w:val="24"/>
          <w:lang w:val="en-US"/>
        </w:rPr>
        <w:t xml:space="preserve">an Lembaga Swadaya Masyarakat </w:t>
      </w:r>
      <w:r w:rsidR="009B172B">
        <w:rPr>
          <w:rFonts w:ascii="Times New Roman" w:hAnsi="Times New Roman"/>
          <w:b/>
          <w:sz w:val="24"/>
          <w:lang w:val="en-US"/>
        </w:rPr>
        <w:t>Di PTUN</w:t>
      </w:r>
    </w:p>
    <w:p w:rsidR="00251415" w:rsidRPr="00251415" w:rsidRDefault="00251415" w:rsidP="00251415">
      <w:pPr>
        <w:spacing w:before="100" w:beforeAutospacing="1" w:after="100" w:afterAutospacing="1" w:line="360" w:lineRule="auto"/>
        <w:ind w:firstLine="720"/>
        <w:jc w:val="both"/>
        <w:rPr>
          <w:rFonts w:ascii="Times New Roman" w:eastAsia="Times New Roman" w:hAnsi="Times New Roman"/>
          <w:sz w:val="24"/>
          <w:szCs w:val="24"/>
          <w:lang w:val="en-US"/>
        </w:rPr>
      </w:pPr>
      <w:r w:rsidRPr="00251415">
        <w:rPr>
          <w:rFonts w:ascii="Times New Roman" w:eastAsia="Times New Roman" w:hAnsi="Times New Roman"/>
          <w:sz w:val="24"/>
          <w:szCs w:val="24"/>
          <w:lang w:val="en-GB"/>
        </w:rPr>
        <w:t>Menurut dalam Pasal 53 ayat (1) Undang-Undang Nomor 5 Tahun 1986 yang dapat bertindak sebagai penggugat dalam sengketa tata usaha negara ialah:</w:t>
      </w:r>
    </w:p>
    <w:p w:rsidR="00251415" w:rsidRPr="00251415" w:rsidRDefault="00251415" w:rsidP="00251415">
      <w:pPr>
        <w:spacing w:before="100" w:beforeAutospacing="1" w:after="100" w:afterAutospacing="1" w:line="240" w:lineRule="auto"/>
        <w:jc w:val="both"/>
        <w:rPr>
          <w:rFonts w:ascii="Times New Roman" w:eastAsia="Times New Roman" w:hAnsi="Times New Roman"/>
          <w:sz w:val="24"/>
          <w:szCs w:val="24"/>
          <w:lang w:val="en-US"/>
        </w:rPr>
      </w:pPr>
      <w:r w:rsidRPr="00251415">
        <w:rPr>
          <w:rFonts w:ascii="Times New Roman" w:eastAsia="Times New Roman" w:hAnsi="Times New Roman"/>
          <w:sz w:val="24"/>
          <w:szCs w:val="24"/>
          <w:lang w:val="en-GB"/>
        </w:rPr>
        <w:t>a. Seseorang (atau beberapa orang masing-masing selaku pribadi);</w:t>
      </w:r>
    </w:p>
    <w:p w:rsidR="00251415" w:rsidRDefault="00251415" w:rsidP="00251415">
      <w:pPr>
        <w:spacing w:before="100" w:beforeAutospacing="1" w:after="100" w:afterAutospacing="1" w:line="360" w:lineRule="auto"/>
        <w:jc w:val="both"/>
        <w:rPr>
          <w:rFonts w:ascii="Times New Roman" w:eastAsia="Times New Roman" w:hAnsi="Times New Roman"/>
          <w:sz w:val="24"/>
          <w:szCs w:val="24"/>
          <w:lang w:val="en-GB"/>
        </w:rPr>
      </w:pPr>
      <w:r w:rsidRPr="00251415">
        <w:rPr>
          <w:rFonts w:ascii="Times New Roman" w:eastAsia="Times New Roman" w:hAnsi="Times New Roman"/>
          <w:sz w:val="24"/>
          <w:szCs w:val="24"/>
          <w:lang w:val="en-GB"/>
        </w:rPr>
        <w:t>b. Badan hukum perdata, seperti perusahaan-perusahaan swasta, organisasi-organisasi, atau perkumpulanperkumpulan kemasyarakatan yang dapat diwakili oleh pengurusnya yang ditunjuk oleh anggaran dasarnya.</w:t>
      </w:r>
    </w:p>
    <w:p w:rsidR="00251415" w:rsidRDefault="001E28BA" w:rsidP="00251415">
      <w:pPr>
        <w:spacing w:before="100" w:beforeAutospacing="1" w:after="100" w:afterAutospacing="1" w:line="360" w:lineRule="auto"/>
        <w:ind w:firstLine="720"/>
        <w:jc w:val="both"/>
        <w:rPr>
          <w:rFonts w:ascii="Times New Roman" w:eastAsia="Times New Roman" w:hAnsi="Times New Roman"/>
          <w:sz w:val="24"/>
          <w:szCs w:val="24"/>
          <w:lang w:val="en-GB"/>
        </w:rPr>
      </w:pPr>
      <w:r>
        <w:rPr>
          <w:rFonts w:ascii="Times New Roman" w:eastAsia="Times New Roman" w:hAnsi="Times New Roman"/>
          <w:noProof/>
          <w:sz w:val="24"/>
          <w:szCs w:val="24"/>
          <w:lang w:val="en-US"/>
        </w:rPr>
        <w:pict>
          <v:shape id="_x0000_s1029" type="#_x0000_t202" style="position:absolute;left:0;text-align:left;margin-left:380.85pt;margin-top:190.5pt;width:28.5pt;height:33.75pt;z-index:251661312" filled="f" stroked="f">
            <v:textbox style="mso-next-textbox:#_x0000_s1029">
              <w:txbxContent>
                <w:p w:rsidR="001E28BA" w:rsidRPr="001E28BA" w:rsidRDefault="001E28BA" w:rsidP="001E28BA">
                  <w:pPr>
                    <w:jc w:val="center"/>
                    <w:rPr>
                      <w:rFonts w:ascii="Times New Roman" w:hAnsi="Times New Roman"/>
                      <w:sz w:val="24"/>
                      <w:lang w:val="en-US"/>
                    </w:rPr>
                  </w:pPr>
                  <w:r>
                    <w:rPr>
                      <w:rFonts w:ascii="Times New Roman" w:hAnsi="Times New Roman"/>
                      <w:sz w:val="24"/>
                      <w:lang w:val="en-US"/>
                    </w:rPr>
                    <w:t>4</w:t>
                  </w:r>
                </w:p>
              </w:txbxContent>
            </v:textbox>
          </v:shape>
        </w:pict>
      </w:r>
      <w:r w:rsidR="00251415">
        <w:rPr>
          <w:rFonts w:ascii="Times New Roman" w:eastAsia="Times New Roman" w:hAnsi="Times New Roman"/>
          <w:sz w:val="24"/>
          <w:szCs w:val="24"/>
          <w:lang w:val="en-GB"/>
        </w:rPr>
        <w:t>S</w:t>
      </w:r>
      <w:r w:rsidR="00251415" w:rsidRPr="00251415">
        <w:rPr>
          <w:rFonts w:ascii="Times New Roman" w:eastAsia="Times New Roman" w:hAnsi="Times New Roman"/>
          <w:sz w:val="24"/>
          <w:szCs w:val="24"/>
          <w:lang w:val="en-GB"/>
        </w:rPr>
        <w:t xml:space="preserve">ecara limitatif telah ditentukan pihak-pihak yang dapat menjadi penggugat di Pengadilan Tata Usaha Negara adalah seseorang atau badan hukum perdata yang kepentingannya merasa dirugikan atas diterbitkannya surat keputusan tata usaha negara. Kepentingan kerugian yang dimaksud dalam Undang-Undang Nomor 5 Tahun 1986 sifatnya adalah kepentingan yang bersifat pribadi yang secara langsung diderita atau dirugikan atas penerbitan surat </w:t>
      </w:r>
      <w:r w:rsidR="00251415" w:rsidRPr="00251415">
        <w:rPr>
          <w:rFonts w:ascii="Times New Roman" w:eastAsia="Times New Roman" w:hAnsi="Times New Roman"/>
          <w:sz w:val="24"/>
          <w:szCs w:val="24"/>
          <w:lang w:val="en-GB"/>
        </w:rPr>
        <w:lastRenderedPageBreak/>
        <w:t xml:space="preserve">keputusan yang merugikan tersebut, jadi kepentingan kerugian di sini tidak bersifat </w:t>
      </w:r>
      <w:r w:rsidR="00251415" w:rsidRPr="00251415">
        <w:rPr>
          <w:rFonts w:ascii="Times New Roman" w:eastAsia="Times New Roman" w:hAnsi="Times New Roman"/>
          <w:i/>
          <w:iCs/>
          <w:sz w:val="24"/>
          <w:szCs w:val="24"/>
          <w:lang w:val="en-GB"/>
        </w:rPr>
        <w:t>derefatif</w:t>
      </w:r>
      <w:r w:rsidR="00251415" w:rsidRPr="00251415">
        <w:rPr>
          <w:rFonts w:ascii="Times New Roman" w:eastAsia="Times New Roman" w:hAnsi="Times New Roman"/>
          <w:sz w:val="24"/>
          <w:szCs w:val="24"/>
          <w:lang w:val="en-GB"/>
        </w:rPr>
        <w:t>.</w:t>
      </w:r>
      <w:r w:rsidR="00251415">
        <w:rPr>
          <w:rStyle w:val="FootnoteReference"/>
          <w:rFonts w:ascii="Times New Roman" w:eastAsia="Times New Roman" w:hAnsi="Times New Roman"/>
          <w:sz w:val="24"/>
          <w:szCs w:val="24"/>
          <w:lang w:val="en-GB"/>
        </w:rPr>
        <w:footnoteReference w:id="4"/>
      </w:r>
      <w:r w:rsidR="00251415" w:rsidRPr="00251415">
        <w:rPr>
          <w:rFonts w:ascii="Times New Roman" w:eastAsia="Times New Roman" w:hAnsi="Times New Roman"/>
          <w:sz w:val="24"/>
          <w:szCs w:val="24"/>
          <w:lang w:val="en-GB"/>
        </w:rPr>
        <w:t xml:space="preserve"> </w:t>
      </w:r>
    </w:p>
    <w:p w:rsidR="00251415" w:rsidRPr="00AF7191" w:rsidRDefault="006E07CD" w:rsidP="00AF7191">
      <w:pPr>
        <w:spacing w:before="100" w:beforeAutospacing="1" w:after="100" w:afterAutospacing="1" w:line="360" w:lineRule="auto"/>
        <w:ind w:firstLine="720"/>
        <w:jc w:val="both"/>
        <w:rPr>
          <w:rFonts w:ascii="Times New Roman" w:eastAsia="Times New Roman" w:hAnsi="Times New Roman"/>
          <w:sz w:val="24"/>
          <w:szCs w:val="24"/>
          <w:lang w:val="en-US"/>
        </w:rPr>
      </w:pPr>
      <w:r>
        <w:rPr>
          <w:rFonts w:ascii="Times New Roman" w:eastAsia="Times New Roman" w:hAnsi="Times New Roman"/>
          <w:sz w:val="24"/>
          <w:szCs w:val="24"/>
          <w:lang w:val="en-GB"/>
        </w:rPr>
        <w:t xml:space="preserve">Pada </w:t>
      </w:r>
      <w:r w:rsidR="00251415" w:rsidRPr="00251415">
        <w:rPr>
          <w:rFonts w:ascii="Times New Roman" w:eastAsia="Times New Roman" w:hAnsi="Times New Roman"/>
          <w:sz w:val="24"/>
          <w:szCs w:val="24"/>
          <w:lang w:val="en-GB"/>
        </w:rPr>
        <w:t>putusan Pengadilan Tata Usaha Negara Jakarta dalam kasus yang terkenal sebagai kasus Dana Raboi</w:t>
      </w:r>
      <w:r>
        <w:rPr>
          <w:rFonts w:ascii="Times New Roman" w:eastAsia="Times New Roman" w:hAnsi="Times New Roman"/>
          <w:sz w:val="24"/>
          <w:szCs w:val="24"/>
          <w:lang w:val="en-GB"/>
        </w:rPr>
        <w:t xml:space="preserve">sasi, yang diajukan WALHI sebagai Penggugat melawan </w:t>
      </w:r>
      <w:r w:rsidR="00251415" w:rsidRPr="00251415">
        <w:rPr>
          <w:rFonts w:ascii="Times New Roman" w:eastAsia="Times New Roman" w:hAnsi="Times New Roman"/>
          <w:sz w:val="24"/>
          <w:szCs w:val="24"/>
          <w:lang w:val="en-GB"/>
        </w:rPr>
        <w:t>Presiden RI dalam kapasitas pejabat negara, terhadap pembatalan Surat Keputusan Presiden No.42 Tahun 1994 tentang Bantuan Pinjaman Kepada Perusahaan Perseroan (Persero) PT. Industri Pesawat Terbang Nusantara (PT. IPTN).</w:t>
      </w:r>
      <w:r w:rsidR="00AF7191">
        <w:rPr>
          <w:rFonts w:ascii="Times New Roman" w:eastAsia="Times New Roman" w:hAnsi="Times New Roman"/>
          <w:sz w:val="24"/>
          <w:szCs w:val="24"/>
          <w:lang w:val="en-US"/>
        </w:rPr>
        <w:t xml:space="preserve"> </w:t>
      </w:r>
      <w:r w:rsidR="00251415" w:rsidRPr="00251415">
        <w:rPr>
          <w:rFonts w:ascii="Times New Roman" w:eastAsia="Times New Roman" w:hAnsi="Times New Roman"/>
          <w:sz w:val="24"/>
          <w:szCs w:val="24"/>
          <w:lang w:val="en-GB"/>
        </w:rPr>
        <w:t>Adapun dasar pertimbangan pengadilan menerima dan menetapkan hak stan</w:t>
      </w:r>
      <w:r w:rsidR="00AF7191">
        <w:rPr>
          <w:rFonts w:ascii="Times New Roman" w:eastAsia="Times New Roman" w:hAnsi="Times New Roman"/>
          <w:sz w:val="24"/>
          <w:szCs w:val="24"/>
          <w:lang w:val="en-GB"/>
        </w:rPr>
        <w:t>ding LSM dalam kasus ini adalah</w:t>
      </w:r>
      <w:r w:rsidR="00251415" w:rsidRPr="00251415">
        <w:rPr>
          <w:rFonts w:ascii="Times New Roman" w:eastAsia="Times New Roman" w:hAnsi="Times New Roman"/>
          <w:sz w:val="24"/>
          <w:szCs w:val="24"/>
          <w:lang w:val="en-GB"/>
        </w:rPr>
        <w:t xml:space="preserve"> Bahwa tujuan organisasi tersebut adalah benar-benar melindungi lingkungan hidup atas menjaga kelestarian alam, dimana tujuan tersebut harus tercantum dan dapat dilihat dalam anggaran das</w:t>
      </w:r>
      <w:r w:rsidR="00AF7191">
        <w:rPr>
          <w:rFonts w:ascii="Times New Roman" w:eastAsia="Times New Roman" w:hAnsi="Times New Roman"/>
          <w:sz w:val="24"/>
          <w:szCs w:val="24"/>
          <w:lang w:val="en-GB"/>
        </w:rPr>
        <w:t>ar organisasi yang bersangkutan dan</w:t>
      </w:r>
      <w:r w:rsidR="00AF7191">
        <w:rPr>
          <w:lang w:val="en-GB"/>
        </w:rPr>
        <w:t xml:space="preserve"> </w:t>
      </w:r>
      <w:r w:rsidR="00AF7191" w:rsidRPr="00AF7191">
        <w:rPr>
          <w:rFonts w:ascii="Times New Roman" w:hAnsi="Times New Roman"/>
          <w:sz w:val="24"/>
          <w:szCs w:val="24"/>
          <w:lang w:val="en-GB"/>
        </w:rPr>
        <w:t>Bahwa organisasi yang bersangkutan haruslah berbentuk badan hukum ataupun yayasan.</w:t>
      </w:r>
    </w:p>
    <w:p w:rsidR="00D95422" w:rsidRDefault="00D95422" w:rsidP="00D95422">
      <w:pPr>
        <w:spacing w:before="120" w:line="360" w:lineRule="auto"/>
        <w:jc w:val="both"/>
        <w:rPr>
          <w:rFonts w:ascii="Times New Roman" w:hAnsi="Times New Roman"/>
          <w:b/>
          <w:sz w:val="24"/>
          <w:lang w:val="en-US"/>
        </w:rPr>
      </w:pPr>
      <w:r w:rsidRPr="006660FA">
        <w:rPr>
          <w:rFonts w:ascii="Times New Roman" w:hAnsi="Times New Roman"/>
          <w:b/>
          <w:sz w:val="24"/>
        </w:rPr>
        <w:t>III.  SIMPULAN</w:t>
      </w:r>
    </w:p>
    <w:p w:rsidR="001A00F6" w:rsidRPr="001A00F6" w:rsidRDefault="001E28BA" w:rsidP="00194D35">
      <w:pPr>
        <w:spacing w:before="240" w:line="360" w:lineRule="auto"/>
        <w:ind w:firstLine="720"/>
        <w:jc w:val="both"/>
        <w:rPr>
          <w:rFonts w:ascii="Times New Roman" w:hAnsi="Times New Roman"/>
          <w:sz w:val="24"/>
          <w:szCs w:val="24"/>
          <w:lang w:val="en-US"/>
        </w:rPr>
      </w:pPr>
      <w:r>
        <w:rPr>
          <w:rFonts w:ascii="Times New Roman" w:hAnsi="Times New Roman"/>
          <w:noProof/>
          <w:sz w:val="24"/>
          <w:szCs w:val="24"/>
          <w:lang w:val="en-US"/>
        </w:rPr>
        <w:pict>
          <v:shape id="_x0000_s1030" type="#_x0000_t202" style="position:absolute;left:0;text-align:left;margin-left:380.85pt;margin-top:329.8pt;width:28.5pt;height:33.75pt;z-index:251662336" filled="f" stroked="f">
            <v:textbox style="mso-next-textbox:#_x0000_s1030">
              <w:txbxContent>
                <w:p w:rsidR="001E28BA" w:rsidRPr="001E28BA" w:rsidRDefault="00D1537F" w:rsidP="001E28BA">
                  <w:pPr>
                    <w:jc w:val="center"/>
                    <w:rPr>
                      <w:rFonts w:ascii="Times New Roman" w:hAnsi="Times New Roman"/>
                      <w:sz w:val="24"/>
                      <w:lang w:val="en-US"/>
                    </w:rPr>
                  </w:pPr>
                  <w:r>
                    <w:rPr>
                      <w:rFonts w:ascii="Times New Roman" w:hAnsi="Times New Roman"/>
                      <w:sz w:val="24"/>
                      <w:lang w:val="en-US"/>
                    </w:rPr>
                    <w:t>5</w:t>
                  </w:r>
                </w:p>
              </w:txbxContent>
            </v:textbox>
          </v:shape>
        </w:pict>
      </w:r>
      <w:r w:rsidR="00DB018A" w:rsidRPr="00091D1A">
        <w:rPr>
          <w:rFonts w:ascii="Times New Roman" w:hAnsi="Times New Roman"/>
          <w:sz w:val="24"/>
          <w:szCs w:val="24"/>
        </w:rPr>
        <w:t>Gugatan perwakilan (</w:t>
      </w:r>
      <w:r w:rsidR="00DB018A" w:rsidRPr="00091D1A">
        <w:rPr>
          <w:rStyle w:val="Emphasis"/>
          <w:rFonts w:ascii="Times New Roman" w:hAnsi="Times New Roman"/>
          <w:sz w:val="24"/>
          <w:szCs w:val="24"/>
        </w:rPr>
        <w:t xml:space="preserve">class action) </w:t>
      </w:r>
      <w:r w:rsidR="00DB018A" w:rsidRPr="00091D1A">
        <w:rPr>
          <w:rFonts w:ascii="Times New Roman" w:hAnsi="Times New Roman"/>
          <w:sz w:val="24"/>
          <w:szCs w:val="24"/>
        </w:rPr>
        <w:t>adalah gugatan dari sekelompok masyarakat dalam jumlah besar yang mempunyai kesamaan kepentingan (</w:t>
      </w:r>
      <w:r w:rsidR="00DB018A" w:rsidRPr="00091D1A">
        <w:rPr>
          <w:rStyle w:val="Emphasis"/>
          <w:rFonts w:ascii="Times New Roman" w:hAnsi="Times New Roman"/>
          <w:sz w:val="24"/>
          <w:szCs w:val="24"/>
        </w:rPr>
        <w:t xml:space="preserve">interest) </w:t>
      </w:r>
      <w:r w:rsidR="00DB018A" w:rsidRPr="00091D1A">
        <w:rPr>
          <w:rFonts w:ascii="Times New Roman" w:hAnsi="Times New Roman"/>
          <w:sz w:val="24"/>
          <w:szCs w:val="24"/>
        </w:rPr>
        <w:t>yang dirugikan atas suatu persoalan hukum, yang diwakili oleh seorang atau sekelompok untuk bertindak atas diri mereka dan mewakili kepentingan dari kelompok masyarakat lainnya (</w:t>
      </w:r>
      <w:r w:rsidR="00DB018A" w:rsidRPr="00091D1A">
        <w:rPr>
          <w:rStyle w:val="Emphasis"/>
          <w:rFonts w:ascii="Times New Roman" w:hAnsi="Times New Roman"/>
          <w:sz w:val="24"/>
          <w:szCs w:val="24"/>
        </w:rPr>
        <w:t>class members)</w:t>
      </w:r>
      <w:r w:rsidR="00DB018A" w:rsidRPr="00091D1A">
        <w:rPr>
          <w:rFonts w:ascii="Times New Roman" w:hAnsi="Times New Roman"/>
          <w:sz w:val="24"/>
          <w:szCs w:val="24"/>
        </w:rPr>
        <w:t>.</w:t>
      </w:r>
      <w:r w:rsidR="00DB018A" w:rsidRPr="00091D1A">
        <w:rPr>
          <w:rFonts w:ascii="Times New Roman" w:hAnsi="Times New Roman"/>
          <w:sz w:val="24"/>
          <w:szCs w:val="24"/>
          <w:lang w:val="en-US"/>
        </w:rPr>
        <w:t xml:space="preserve"> </w:t>
      </w:r>
      <w:r w:rsidR="00194D35" w:rsidRPr="00091D1A">
        <w:rPr>
          <w:rFonts w:ascii="Times New Roman" w:hAnsi="Times New Roman"/>
          <w:sz w:val="24"/>
          <w:szCs w:val="24"/>
        </w:rPr>
        <w:t>Class Action dan Legal Standing hendaknya dipahami sebagai dua jenis gugatan perdata melalui perwakilan kelompok yang berbeda antara satu dengan yang lain.</w:t>
      </w:r>
      <w:r w:rsidR="00194D35">
        <w:rPr>
          <w:rFonts w:ascii="Times New Roman" w:hAnsi="Times New Roman"/>
          <w:sz w:val="24"/>
          <w:szCs w:val="24"/>
          <w:lang w:val="en-US"/>
        </w:rPr>
        <w:t xml:space="preserve"> </w:t>
      </w:r>
      <w:r w:rsidR="00091D1A" w:rsidRPr="00091D1A">
        <w:rPr>
          <w:rFonts w:ascii="Times New Roman" w:hAnsi="Times New Roman"/>
          <w:sz w:val="24"/>
          <w:szCs w:val="24"/>
        </w:rPr>
        <w:t>Penerapan gugatan melalui pengadilan baik secara class action ataupun secara legal standing harus dijadikan sebagai salah satu cara dalam menempuh keadilan agar setiap elemen pembangunan menyadari arti pentingnya lingkunga</w:t>
      </w:r>
      <w:r w:rsidR="001A00F6">
        <w:rPr>
          <w:rFonts w:ascii="Times New Roman" w:hAnsi="Times New Roman"/>
          <w:sz w:val="24"/>
          <w:szCs w:val="24"/>
          <w:lang w:val="en-US"/>
        </w:rPr>
        <w:t>n.</w:t>
      </w:r>
    </w:p>
    <w:p w:rsidR="00D95422" w:rsidRPr="00194D35" w:rsidRDefault="00D95422" w:rsidP="001A00F6">
      <w:pPr>
        <w:spacing w:before="240" w:line="360" w:lineRule="auto"/>
        <w:jc w:val="both"/>
        <w:rPr>
          <w:rFonts w:ascii="Times New Roman" w:hAnsi="Times New Roman"/>
          <w:b/>
          <w:sz w:val="24"/>
          <w:lang w:val="en-US"/>
        </w:rPr>
      </w:pPr>
      <w:r w:rsidRPr="006660FA">
        <w:rPr>
          <w:rFonts w:ascii="Times New Roman" w:hAnsi="Times New Roman"/>
          <w:b/>
          <w:sz w:val="24"/>
        </w:rPr>
        <w:lastRenderedPageBreak/>
        <w:t xml:space="preserve">DAFTAR PUSTAKA </w:t>
      </w:r>
    </w:p>
    <w:p w:rsidR="00D95422" w:rsidRDefault="00D95422" w:rsidP="00D95422">
      <w:pPr>
        <w:spacing w:before="120"/>
        <w:jc w:val="both"/>
        <w:rPr>
          <w:rFonts w:ascii="Times New Roman" w:hAnsi="Times New Roman"/>
          <w:b/>
          <w:sz w:val="24"/>
          <w:lang w:val="en-US"/>
        </w:rPr>
      </w:pPr>
      <w:r w:rsidRPr="006660FA">
        <w:rPr>
          <w:rFonts w:ascii="Times New Roman" w:hAnsi="Times New Roman"/>
          <w:b/>
          <w:sz w:val="24"/>
        </w:rPr>
        <w:t>Buku</w:t>
      </w:r>
    </w:p>
    <w:p w:rsidR="00DB018A" w:rsidRDefault="00DB018A" w:rsidP="00DB018A">
      <w:pPr>
        <w:pStyle w:val="FootnoteText"/>
        <w:spacing w:after="240" w:line="276" w:lineRule="auto"/>
        <w:ind w:left="547" w:hanging="547"/>
        <w:rPr>
          <w:sz w:val="24"/>
          <w:szCs w:val="24"/>
        </w:rPr>
      </w:pPr>
      <w:r>
        <w:rPr>
          <w:sz w:val="24"/>
          <w:szCs w:val="24"/>
        </w:rPr>
        <w:t>H</w:t>
      </w:r>
      <w:r w:rsidRPr="00DB018A">
        <w:rPr>
          <w:sz w:val="24"/>
          <w:szCs w:val="24"/>
        </w:rPr>
        <w:t>arahap,</w:t>
      </w:r>
      <w:r w:rsidR="00441DBA">
        <w:rPr>
          <w:sz w:val="24"/>
          <w:szCs w:val="24"/>
        </w:rPr>
        <w:t xml:space="preserve"> M. Yahya,</w:t>
      </w:r>
      <w:r w:rsidRPr="00DB018A">
        <w:rPr>
          <w:sz w:val="24"/>
          <w:szCs w:val="24"/>
        </w:rPr>
        <w:t xml:space="preserve"> 2004, </w:t>
      </w:r>
      <w:r w:rsidRPr="00DB018A">
        <w:rPr>
          <w:i/>
          <w:sz w:val="24"/>
          <w:szCs w:val="24"/>
        </w:rPr>
        <w:t xml:space="preserve">Hukum Acara Perdata : Gugatan, Persidangan, Penyitaan, Pembuktian, dan Putusan Pengadilan, </w:t>
      </w:r>
      <w:r>
        <w:rPr>
          <w:sz w:val="24"/>
          <w:szCs w:val="24"/>
        </w:rPr>
        <w:t>Sinar Grafika, Jakarta.</w:t>
      </w:r>
    </w:p>
    <w:p w:rsidR="00194D35" w:rsidRDefault="00194D35" w:rsidP="00194D35">
      <w:pPr>
        <w:pStyle w:val="FootnoteText"/>
        <w:ind w:left="540" w:hanging="540"/>
        <w:rPr>
          <w:sz w:val="24"/>
          <w:szCs w:val="24"/>
        </w:rPr>
      </w:pPr>
      <w:r w:rsidRPr="00441DBA">
        <w:rPr>
          <w:sz w:val="24"/>
          <w:szCs w:val="24"/>
        </w:rPr>
        <w:t xml:space="preserve">Nugroho, Susanti Adi, 2010, </w:t>
      </w:r>
      <w:r w:rsidRPr="00441DBA">
        <w:rPr>
          <w:i/>
          <w:sz w:val="24"/>
          <w:szCs w:val="24"/>
        </w:rPr>
        <w:t xml:space="preserve">Class Action &amp; Perbandingan dengan Negara Lain, </w:t>
      </w:r>
      <w:r w:rsidRPr="00441DBA">
        <w:rPr>
          <w:sz w:val="24"/>
          <w:szCs w:val="24"/>
        </w:rPr>
        <w:t xml:space="preserve">Kencana Prenada MediaGroup, Jakarta. </w:t>
      </w:r>
    </w:p>
    <w:p w:rsidR="00194D35" w:rsidRPr="00251415" w:rsidRDefault="00194D35" w:rsidP="00194D35">
      <w:pPr>
        <w:spacing w:before="100" w:beforeAutospacing="1" w:after="100" w:afterAutospacing="1" w:line="360" w:lineRule="auto"/>
        <w:ind w:left="540" w:hanging="540"/>
        <w:jc w:val="both"/>
        <w:rPr>
          <w:rFonts w:ascii="Times New Roman" w:eastAsia="Times New Roman" w:hAnsi="Times New Roman"/>
          <w:sz w:val="24"/>
          <w:szCs w:val="24"/>
          <w:lang w:val="en-US"/>
        </w:rPr>
      </w:pPr>
      <w:r w:rsidRPr="00194D35">
        <w:rPr>
          <w:rFonts w:ascii="Times New Roman" w:eastAsia="Times New Roman" w:hAnsi="Times New Roman"/>
          <w:sz w:val="24"/>
          <w:szCs w:val="24"/>
          <w:lang w:val="en-GB"/>
        </w:rPr>
        <w:t xml:space="preserve">Sjachran Basah, 1992, </w:t>
      </w:r>
      <w:r w:rsidRPr="00194D35">
        <w:rPr>
          <w:rFonts w:ascii="Times New Roman" w:eastAsia="Times New Roman" w:hAnsi="Times New Roman"/>
          <w:i/>
          <w:iCs/>
          <w:sz w:val="24"/>
          <w:szCs w:val="24"/>
          <w:lang w:val="en-GB"/>
        </w:rPr>
        <w:t>Perkembangan Hukum Terhadap Sikap Tindak Administrasi</w:t>
      </w:r>
      <w:r w:rsidRPr="00194D35">
        <w:rPr>
          <w:rFonts w:ascii="Times New Roman" w:eastAsia="Times New Roman" w:hAnsi="Times New Roman"/>
          <w:sz w:val="24"/>
          <w:szCs w:val="24"/>
          <w:lang w:val="en-US"/>
        </w:rPr>
        <w:t xml:space="preserve"> </w:t>
      </w:r>
      <w:r w:rsidRPr="00194D35">
        <w:rPr>
          <w:rFonts w:ascii="Times New Roman" w:eastAsia="Times New Roman" w:hAnsi="Times New Roman"/>
          <w:i/>
          <w:iCs/>
          <w:sz w:val="24"/>
          <w:szCs w:val="24"/>
          <w:lang w:val="en-GB"/>
        </w:rPr>
        <w:t xml:space="preserve">Negara, </w:t>
      </w:r>
      <w:r w:rsidRPr="00194D35">
        <w:rPr>
          <w:rFonts w:ascii="Times New Roman" w:eastAsia="Times New Roman" w:hAnsi="Times New Roman"/>
          <w:sz w:val="24"/>
          <w:szCs w:val="24"/>
          <w:lang w:val="en-GB"/>
        </w:rPr>
        <w:t>Alumni, Bandung.</w:t>
      </w:r>
    </w:p>
    <w:p w:rsidR="00D95422" w:rsidRDefault="00D95422" w:rsidP="00D95422">
      <w:pPr>
        <w:spacing w:before="240" w:line="360" w:lineRule="auto"/>
        <w:jc w:val="both"/>
        <w:rPr>
          <w:rFonts w:ascii="Times New Roman" w:hAnsi="Times New Roman"/>
          <w:b/>
          <w:sz w:val="24"/>
          <w:lang w:val="en-US"/>
        </w:rPr>
      </w:pPr>
      <w:r w:rsidRPr="006660FA">
        <w:rPr>
          <w:rFonts w:ascii="Times New Roman" w:hAnsi="Times New Roman"/>
          <w:b/>
          <w:sz w:val="24"/>
        </w:rPr>
        <w:t>Peraturan Perundang-Undangan</w:t>
      </w:r>
    </w:p>
    <w:p w:rsidR="00DB018A" w:rsidRPr="00DB018A" w:rsidRDefault="00DB018A" w:rsidP="00441DBA">
      <w:pPr>
        <w:spacing w:before="240" w:line="360" w:lineRule="auto"/>
        <w:ind w:left="540" w:hanging="540"/>
        <w:jc w:val="both"/>
        <w:rPr>
          <w:rFonts w:ascii="Times New Roman" w:hAnsi="Times New Roman"/>
          <w:b/>
          <w:sz w:val="24"/>
          <w:lang w:val="en-US"/>
        </w:rPr>
      </w:pPr>
      <w:r>
        <w:rPr>
          <w:rFonts w:ascii="Times New Roman" w:hAnsi="Times New Roman"/>
          <w:sz w:val="24"/>
          <w:lang w:val="en-US"/>
        </w:rPr>
        <w:t xml:space="preserve">PERMA No. 1 Tahun 2002 tentang </w:t>
      </w:r>
      <w:r w:rsidR="00194D35">
        <w:rPr>
          <w:rFonts w:ascii="Times New Roman" w:hAnsi="Times New Roman"/>
          <w:sz w:val="24"/>
          <w:lang w:val="en-US"/>
        </w:rPr>
        <w:t xml:space="preserve"> Acara</w:t>
      </w:r>
      <w:r w:rsidR="00441DBA">
        <w:rPr>
          <w:rFonts w:ascii="Times New Roman" w:hAnsi="Times New Roman"/>
          <w:sz w:val="24"/>
          <w:lang w:val="en-US"/>
        </w:rPr>
        <w:t xml:space="preserve"> Penerapan Gugatan Perwakilan Kelompok</w:t>
      </w:r>
    </w:p>
    <w:p w:rsidR="00C75945" w:rsidRPr="00A672A2" w:rsidRDefault="00611809" w:rsidP="00611809">
      <w:pPr>
        <w:pStyle w:val="FootnoteText"/>
        <w:tabs>
          <w:tab w:val="left" w:pos="1920"/>
        </w:tabs>
        <w:spacing w:line="276" w:lineRule="auto"/>
        <w:ind w:left="540"/>
        <w:rPr>
          <w:sz w:val="24"/>
          <w:szCs w:val="24"/>
        </w:rPr>
      </w:pPr>
      <w:r>
        <w:rPr>
          <w:sz w:val="24"/>
          <w:szCs w:val="24"/>
        </w:rPr>
        <w:tab/>
      </w:r>
    </w:p>
    <w:sectPr w:rsidR="00C75945" w:rsidRPr="00A672A2" w:rsidSect="001E28BA">
      <w:footerReference w:type="default" r:id="rId8"/>
      <w:footerReference w:type="first" r:id="rId9"/>
      <w:pgSz w:w="11906" w:h="16838" w:code="9"/>
      <w:pgMar w:top="2268" w:right="1701" w:bottom="1701" w:left="2268"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96D" w:rsidRDefault="0028796D" w:rsidP="00D95422">
      <w:pPr>
        <w:spacing w:after="0" w:line="240" w:lineRule="auto"/>
      </w:pPr>
      <w:r>
        <w:separator/>
      </w:r>
    </w:p>
  </w:endnote>
  <w:endnote w:type="continuationSeparator" w:id="1">
    <w:p w:rsidR="0028796D" w:rsidRDefault="0028796D" w:rsidP="00D95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8BA" w:rsidRDefault="001E28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36278"/>
      <w:docPartObj>
        <w:docPartGallery w:val="Page Numbers (Bottom of Page)"/>
        <w:docPartUnique/>
      </w:docPartObj>
    </w:sdtPr>
    <w:sdtContent>
      <w:p w:rsidR="00071F89" w:rsidRDefault="00071F89">
        <w:pPr>
          <w:pStyle w:val="Footer"/>
          <w:jc w:val="center"/>
        </w:pPr>
        <w:fldSimple w:instr=" PAGE   \* MERGEFORMAT ">
          <w:r w:rsidR="001E28BA">
            <w:rPr>
              <w:noProof/>
            </w:rPr>
            <w:t>1</w:t>
          </w:r>
        </w:fldSimple>
      </w:p>
    </w:sdtContent>
  </w:sdt>
  <w:p w:rsidR="00611809" w:rsidRDefault="006118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96D" w:rsidRDefault="0028796D" w:rsidP="00D95422">
      <w:pPr>
        <w:spacing w:after="0" w:line="240" w:lineRule="auto"/>
      </w:pPr>
      <w:r>
        <w:separator/>
      </w:r>
    </w:p>
  </w:footnote>
  <w:footnote w:type="continuationSeparator" w:id="1">
    <w:p w:rsidR="0028796D" w:rsidRDefault="0028796D" w:rsidP="00D95422">
      <w:pPr>
        <w:spacing w:after="0" w:line="240" w:lineRule="auto"/>
      </w:pPr>
      <w:r>
        <w:continuationSeparator/>
      </w:r>
    </w:p>
  </w:footnote>
  <w:footnote w:id="2">
    <w:p w:rsidR="0090108B" w:rsidRPr="00704FE8" w:rsidRDefault="0090108B" w:rsidP="00704FE8">
      <w:pPr>
        <w:pStyle w:val="NoSpacing"/>
        <w:spacing w:after="120"/>
        <w:rPr>
          <w:rFonts w:ascii="Times New Roman" w:hAnsi="Times New Roman"/>
          <w:sz w:val="20"/>
          <w:szCs w:val="20"/>
          <w:lang w:val="en-US"/>
        </w:rPr>
      </w:pPr>
      <w:r w:rsidRPr="00704FE8">
        <w:rPr>
          <w:rFonts w:ascii="Times New Roman" w:hAnsi="Times New Roman"/>
          <w:sz w:val="20"/>
          <w:szCs w:val="20"/>
        </w:rPr>
        <w:t xml:space="preserve">                </w:t>
      </w:r>
      <w:r w:rsidR="00441DBA" w:rsidRPr="00704FE8">
        <w:rPr>
          <w:rFonts w:ascii="Times New Roman" w:hAnsi="Times New Roman"/>
          <w:sz w:val="20"/>
          <w:szCs w:val="20"/>
        </w:rPr>
        <w:t xml:space="preserve"> </w:t>
      </w:r>
      <w:r w:rsidRPr="00704FE8">
        <w:rPr>
          <w:rStyle w:val="FootnoteReference"/>
          <w:rFonts w:ascii="Times New Roman" w:hAnsi="Times New Roman"/>
          <w:sz w:val="20"/>
          <w:szCs w:val="20"/>
        </w:rPr>
        <w:footnoteRef/>
      </w:r>
      <w:r w:rsidR="00DB018A" w:rsidRPr="00704FE8">
        <w:rPr>
          <w:rFonts w:ascii="Times New Roman" w:hAnsi="Times New Roman"/>
          <w:sz w:val="20"/>
          <w:szCs w:val="20"/>
        </w:rPr>
        <w:t xml:space="preserve"> </w:t>
      </w:r>
      <w:r w:rsidR="00441DBA" w:rsidRPr="00704FE8">
        <w:rPr>
          <w:rFonts w:ascii="Times New Roman" w:hAnsi="Times New Roman"/>
          <w:sz w:val="20"/>
          <w:szCs w:val="20"/>
        </w:rPr>
        <w:t>Yahya H</w:t>
      </w:r>
      <w:r w:rsidRPr="00704FE8">
        <w:rPr>
          <w:rFonts w:ascii="Times New Roman" w:hAnsi="Times New Roman"/>
          <w:sz w:val="20"/>
          <w:szCs w:val="20"/>
        </w:rPr>
        <w:t>arahap, 2004, Hukum Acara Perdata : Gugatan, Persidangan, Penyitaan, Pembuktian, dan Putusan Pengadilan, Sinar Grafika, Jakarta, h. 139</w:t>
      </w:r>
    </w:p>
  </w:footnote>
  <w:footnote w:id="3">
    <w:p w:rsidR="00441DBA" w:rsidRPr="00704FE8" w:rsidRDefault="00441DBA" w:rsidP="00704FE8">
      <w:pPr>
        <w:pStyle w:val="NoSpacing"/>
        <w:rPr>
          <w:rFonts w:ascii="Times New Roman" w:hAnsi="Times New Roman"/>
          <w:sz w:val="20"/>
          <w:szCs w:val="20"/>
        </w:rPr>
      </w:pPr>
      <w:r w:rsidRPr="00704FE8">
        <w:rPr>
          <w:rFonts w:ascii="Times New Roman" w:hAnsi="Times New Roman"/>
          <w:sz w:val="20"/>
          <w:szCs w:val="20"/>
        </w:rPr>
        <w:t xml:space="preserve">               </w:t>
      </w:r>
      <w:r w:rsidR="00704FE8" w:rsidRPr="00704FE8">
        <w:rPr>
          <w:rFonts w:ascii="Times New Roman" w:hAnsi="Times New Roman"/>
          <w:sz w:val="20"/>
          <w:szCs w:val="20"/>
        </w:rPr>
        <w:t xml:space="preserve"> </w:t>
      </w:r>
      <w:r w:rsidRPr="00704FE8">
        <w:rPr>
          <w:rStyle w:val="FootnoteReference"/>
          <w:rFonts w:ascii="Times New Roman" w:hAnsi="Times New Roman"/>
          <w:sz w:val="20"/>
          <w:szCs w:val="20"/>
        </w:rPr>
        <w:footnoteRef/>
      </w:r>
      <w:r w:rsidR="00704FE8" w:rsidRPr="00704FE8">
        <w:rPr>
          <w:rFonts w:ascii="Times New Roman" w:hAnsi="Times New Roman"/>
          <w:sz w:val="20"/>
          <w:szCs w:val="20"/>
        </w:rPr>
        <w:t xml:space="preserve"> </w:t>
      </w:r>
      <w:r w:rsidRPr="00704FE8">
        <w:rPr>
          <w:rFonts w:ascii="Times New Roman" w:hAnsi="Times New Roman"/>
          <w:sz w:val="20"/>
          <w:szCs w:val="20"/>
        </w:rPr>
        <w:t xml:space="preserve">Susanti Adi Nugroho, 2010, Class Action &amp; Perbandingan dengan Negara Lain, Kencana Prenada MediaGroup, Jakarta, h.4 </w:t>
      </w:r>
    </w:p>
  </w:footnote>
  <w:footnote w:id="4">
    <w:p w:rsidR="00251415" w:rsidRPr="00251415" w:rsidRDefault="00251415" w:rsidP="00251415">
      <w:pPr>
        <w:spacing w:before="100" w:beforeAutospacing="1" w:after="100" w:afterAutospacing="1" w:line="360" w:lineRule="auto"/>
        <w:ind w:firstLine="720"/>
        <w:jc w:val="both"/>
        <w:rPr>
          <w:rFonts w:ascii="Times New Roman" w:eastAsia="Times New Roman" w:hAnsi="Times New Roman"/>
          <w:sz w:val="20"/>
          <w:szCs w:val="20"/>
          <w:lang w:val="en-US"/>
        </w:rPr>
      </w:pPr>
      <w:r w:rsidRPr="00194D35">
        <w:rPr>
          <w:rStyle w:val="FootnoteReference"/>
          <w:rFonts w:ascii="Times New Roman" w:hAnsi="Times New Roman"/>
          <w:sz w:val="20"/>
          <w:szCs w:val="20"/>
        </w:rPr>
        <w:footnoteRef/>
      </w:r>
      <w:r>
        <w:t xml:space="preserve"> </w:t>
      </w:r>
      <w:r w:rsidRPr="00251415">
        <w:rPr>
          <w:rFonts w:ascii="Times New Roman" w:eastAsia="Times New Roman" w:hAnsi="Times New Roman"/>
          <w:sz w:val="20"/>
          <w:szCs w:val="20"/>
          <w:lang w:val="en-GB"/>
        </w:rPr>
        <w:t xml:space="preserve">Sjachran Basah, 1992, </w:t>
      </w:r>
      <w:r w:rsidRPr="00251415">
        <w:rPr>
          <w:rFonts w:ascii="Times New Roman" w:eastAsia="Times New Roman" w:hAnsi="Times New Roman"/>
          <w:i/>
          <w:iCs/>
          <w:sz w:val="20"/>
          <w:szCs w:val="20"/>
          <w:lang w:val="en-GB"/>
        </w:rPr>
        <w:t>Perkembangan Hukum Terhadap Sikap Tindak Administrasi</w:t>
      </w:r>
      <w:r w:rsidRPr="00251415">
        <w:rPr>
          <w:rFonts w:ascii="Times New Roman" w:eastAsia="Times New Roman" w:hAnsi="Times New Roman"/>
          <w:sz w:val="20"/>
          <w:szCs w:val="20"/>
          <w:lang w:val="en-US"/>
        </w:rPr>
        <w:t xml:space="preserve"> </w:t>
      </w:r>
      <w:r w:rsidRPr="00251415">
        <w:rPr>
          <w:rFonts w:ascii="Times New Roman" w:eastAsia="Times New Roman" w:hAnsi="Times New Roman"/>
          <w:i/>
          <w:iCs/>
          <w:sz w:val="20"/>
          <w:szCs w:val="20"/>
          <w:lang w:val="en-GB"/>
        </w:rPr>
        <w:t xml:space="preserve">Negara, </w:t>
      </w:r>
      <w:r>
        <w:rPr>
          <w:rFonts w:ascii="Times New Roman" w:eastAsia="Times New Roman" w:hAnsi="Times New Roman"/>
          <w:sz w:val="20"/>
          <w:szCs w:val="20"/>
          <w:lang w:val="en-GB"/>
        </w:rPr>
        <w:t>Alumni, Bandung, hal. 2</w:t>
      </w:r>
    </w:p>
    <w:p w:rsidR="00251415" w:rsidRPr="00251415" w:rsidRDefault="00251415">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248AE"/>
    <w:multiLevelType w:val="hybridMultilevel"/>
    <w:tmpl w:val="15EC65E8"/>
    <w:lvl w:ilvl="0" w:tplc="5DF87D4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E8D707D"/>
    <w:multiLevelType w:val="hybridMultilevel"/>
    <w:tmpl w:val="8C041EE0"/>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3F2236EE"/>
    <w:multiLevelType w:val="hybridMultilevel"/>
    <w:tmpl w:val="3328CE1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107986"/>
    <w:multiLevelType w:val="hybridMultilevel"/>
    <w:tmpl w:val="B77A6B72"/>
    <w:lvl w:ilvl="0" w:tplc="036C9E36">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A32C4C"/>
    <w:multiLevelType w:val="hybridMultilevel"/>
    <w:tmpl w:val="29ECA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1560F1"/>
    <w:multiLevelType w:val="hybridMultilevel"/>
    <w:tmpl w:val="7F3CB932"/>
    <w:lvl w:ilvl="0" w:tplc="5DF87D4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C474724"/>
    <w:multiLevelType w:val="hybridMultilevel"/>
    <w:tmpl w:val="4C2EE8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EA0BA5"/>
    <w:multiLevelType w:val="hybridMultilevel"/>
    <w:tmpl w:val="47342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4"/>
  </w:num>
  <w:num w:numId="6">
    <w:abstractNumId w:val="7"/>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D95422"/>
    <w:rsid w:val="0001468E"/>
    <w:rsid w:val="00071F89"/>
    <w:rsid w:val="00091D1A"/>
    <w:rsid w:val="000A68B7"/>
    <w:rsid w:val="00194D35"/>
    <w:rsid w:val="001A00F6"/>
    <w:rsid w:val="001B08EF"/>
    <w:rsid w:val="001D3F50"/>
    <w:rsid w:val="001E28BA"/>
    <w:rsid w:val="002238AF"/>
    <w:rsid w:val="00247623"/>
    <w:rsid w:val="00251415"/>
    <w:rsid w:val="0028796D"/>
    <w:rsid w:val="00296846"/>
    <w:rsid w:val="00383A8B"/>
    <w:rsid w:val="003928EF"/>
    <w:rsid w:val="00394CEB"/>
    <w:rsid w:val="003B1534"/>
    <w:rsid w:val="003B39D2"/>
    <w:rsid w:val="003E2113"/>
    <w:rsid w:val="004162EC"/>
    <w:rsid w:val="00423C34"/>
    <w:rsid w:val="00441DBA"/>
    <w:rsid w:val="00467B7D"/>
    <w:rsid w:val="004A7E7C"/>
    <w:rsid w:val="004C0B75"/>
    <w:rsid w:val="00504298"/>
    <w:rsid w:val="00585995"/>
    <w:rsid w:val="00611809"/>
    <w:rsid w:val="0064385A"/>
    <w:rsid w:val="006D7834"/>
    <w:rsid w:val="006E04CD"/>
    <w:rsid w:val="006E07CD"/>
    <w:rsid w:val="006F55D1"/>
    <w:rsid w:val="00704FE8"/>
    <w:rsid w:val="007441FC"/>
    <w:rsid w:val="007617C3"/>
    <w:rsid w:val="00782964"/>
    <w:rsid w:val="008012CC"/>
    <w:rsid w:val="00885E1D"/>
    <w:rsid w:val="008D0B88"/>
    <w:rsid w:val="0090108B"/>
    <w:rsid w:val="00920A71"/>
    <w:rsid w:val="0094547E"/>
    <w:rsid w:val="00951FC2"/>
    <w:rsid w:val="009B172B"/>
    <w:rsid w:val="00A62D9F"/>
    <w:rsid w:val="00AA79BB"/>
    <w:rsid w:val="00AC408D"/>
    <w:rsid w:val="00AD11EE"/>
    <w:rsid w:val="00AE4686"/>
    <w:rsid w:val="00AF066F"/>
    <w:rsid w:val="00AF07B9"/>
    <w:rsid w:val="00AF0E07"/>
    <w:rsid w:val="00AF7191"/>
    <w:rsid w:val="00B24EEA"/>
    <w:rsid w:val="00B27F83"/>
    <w:rsid w:val="00B34E08"/>
    <w:rsid w:val="00B74658"/>
    <w:rsid w:val="00B83819"/>
    <w:rsid w:val="00BC1CA0"/>
    <w:rsid w:val="00BC66C0"/>
    <w:rsid w:val="00C75945"/>
    <w:rsid w:val="00CA70A3"/>
    <w:rsid w:val="00CB1CF4"/>
    <w:rsid w:val="00CD718B"/>
    <w:rsid w:val="00CF12F7"/>
    <w:rsid w:val="00D1537F"/>
    <w:rsid w:val="00D408D0"/>
    <w:rsid w:val="00D5762B"/>
    <w:rsid w:val="00D67043"/>
    <w:rsid w:val="00D81FE8"/>
    <w:rsid w:val="00D95422"/>
    <w:rsid w:val="00DB018A"/>
    <w:rsid w:val="00E62965"/>
    <w:rsid w:val="00EB27E7"/>
    <w:rsid w:val="00F315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10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422"/>
    <w:pPr>
      <w:spacing w:after="200" w:line="276" w:lineRule="auto"/>
      <w:ind w:left="0"/>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54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D95422"/>
    <w:rPr>
      <w:rFonts w:ascii="Calibri" w:eastAsia="Calibri" w:hAnsi="Calibri" w:cs="Times New Roman"/>
      <w:lang w:val="id-ID"/>
    </w:rPr>
  </w:style>
  <w:style w:type="character" w:styleId="PageNumber">
    <w:name w:val="page number"/>
    <w:basedOn w:val="DefaultParagraphFont"/>
    <w:uiPriority w:val="99"/>
    <w:unhideWhenUsed/>
    <w:rsid w:val="00D95422"/>
  </w:style>
  <w:style w:type="paragraph" w:styleId="ListParagraph">
    <w:name w:val="List Paragraph"/>
    <w:basedOn w:val="Normal"/>
    <w:uiPriority w:val="34"/>
    <w:qFormat/>
    <w:rsid w:val="00D95422"/>
    <w:pPr>
      <w:ind w:left="720"/>
      <w:contextualSpacing/>
    </w:pPr>
  </w:style>
  <w:style w:type="paragraph" w:styleId="Header">
    <w:name w:val="header"/>
    <w:basedOn w:val="Normal"/>
    <w:link w:val="HeaderChar"/>
    <w:uiPriority w:val="99"/>
    <w:unhideWhenUsed/>
    <w:rsid w:val="00D954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422"/>
    <w:rPr>
      <w:rFonts w:ascii="Calibri" w:eastAsia="Calibri" w:hAnsi="Calibri" w:cs="Times New Roman"/>
      <w:lang w:val="id-ID"/>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uiPriority w:val="99"/>
    <w:unhideWhenUsed/>
    <w:rsid w:val="00D95422"/>
    <w:pPr>
      <w:spacing w:after="0" w:line="360" w:lineRule="auto"/>
      <w:jc w:val="both"/>
    </w:pPr>
    <w:rPr>
      <w:rFonts w:ascii="Times New Roman" w:hAnsi="Times New Roman"/>
      <w:sz w:val="20"/>
      <w:szCs w:val="20"/>
      <w:lang w:val="en-US"/>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rsid w:val="00D95422"/>
    <w:rPr>
      <w:rFonts w:ascii="Times New Roman" w:eastAsia="Calibri" w:hAnsi="Times New Roman" w:cs="Times New Roman"/>
      <w:sz w:val="20"/>
      <w:szCs w:val="20"/>
    </w:rPr>
  </w:style>
  <w:style w:type="character" w:styleId="FootnoteReference">
    <w:name w:val="footnote reference"/>
    <w:uiPriority w:val="99"/>
    <w:unhideWhenUsed/>
    <w:rsid w:val="00D95422"/>
    <w:rPr>
      <w:vertAlign w:val="superscript"/>
    </w:rPr>
  </w:style>
  <w:style w:type="character" w:styleId="Hyperlink">
    <w:name w:val="Hyperlink"/>
    <w:basedOn w:val="DefaultParagraphFont"/>
    <w:uiPriority w:val="99"/>
    <w:unhideWhenUsed/>
    <w:rsid w:val="00920A71"/>
    <w:rPr>
      <w:color w:val="0000FF" w:themeColor="hyperlink"/>
      <w:u w:val="single"/>
    </w:rPr>
  </w:style>
  <w:style w:type="character" w:styleId="Emphasis">
    <w:name w:val="Emphasis"/>
    <w:basedOn w:val="DefaultParagraphFont"/>
    <w:uiPriority w:val="20"/>
    <w:qFormat/>
    <w:rsid w:val="00D67043"/>
    <w:rPr>
      <w:i/>
      <w:iCs/>
    </w:rPr>
  </w:style>
  <w:style w:type="paragraph" w:styleId="NormalWeb">
    <w:name w:val="Normal (Web)"/>
    <w:basedOn w:val="Normal"/>
    <w:uiPriority w:val="99"/>
    <w:unhideWhenUsed/>
    <w:rsid w:val="00383A8B"/>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704FE8"/>
    <w:pPr>
      <w:spacing w:line="240" w:lineRule="auto"/>
      <w:ind w:left="0"/>
    </w:pPr>
    <w:rPr>
      <w:rFonts w:ascii="Calibri" w:eastAsia="Calibri" w:hAnsi="Calibri" w:cs="Times New Roman"/>
      <w:lang w:val="id-ID"/>
    </w:rPr>
  </w:style>
  <w:style w:type="character" w:styleId="Strong">
    <w:name w:val="Strong"/>
    <w:basedOn w:val="DefaultParagraphFont"/>
    <w:uiPriority w:val="22"/>
    <w:qFormat/>
    <w:rsid w:val="00251415"/>
    <w:rPr>
      <w:b/>
      <w:bCs/>
    </w:rPr>
  </w:style>
  <w:style w:type="character" w:customStyle="1" w:styleId="skimlinks-unlinked">
    <w:name w:val="skimlinks-unlinked"/>
    <w:basedOn w:val="DefaultParagraphFont"/>
    <w:rsid w:val="00251415"/>
  </w:style>
  <w:style w:type="paragraph" w:styleId="BalloonText">
    <w:name w:val="Balloon Text"/>
    <w:basedOn w:val="Normal"/>
    <w:link w:val="BalloonTextChar"/>
    <w:uiPriority w:val="99"/>
    <w:semiHidden/>
    <w:unhideWhenUsed/>
    <w:rsid w:val="001E2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BA"/>
    <w:rPr>
      <w:rFonts w:ascii="Tahoma" w:eastAsia="Calibri"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divs>
    <w:div w:id="112336154">
      <w:bodyDiv w:val="1"/>
      <w:marLeft w:val="0"/>
      <w:marRight w:val="0"/>
      <w:marTop w:val="0"/>
      <w:marBottom w:val="0"/>
      <w:divBdr>
        <w:top w:val="none" w:sz="0" w:space="0" w:color="auto"/>
        <w:left w:val="none" w:sz="0" w:space="0" w:color="auto"/>
        <w:bottom w:val="none" w:sz="0" w:space="0" w:color="auto"/>
        <w:right w:val="none" w:sz="0" w:space="0" w:color="auto"/>
      </w:divBdr>
      <w:divsChild>
        <w:div w:id="1442072107">
          <w:marLeft w:val="0"/>
          <w:marRight w:val="0"/>
          <w:marTop w:val="0"/>
          <w:marBottom w:val="0"/>
          <w:divBdr>
            <w:top w:val="none" w:sz="0" w:space="0" w:color="auto"/>
            <w:left w:val="none" w:sz="0" w:space="0" w:color="auto"/>
            <w:bottom w:val="none" w:sz="0" w:space="0" w:color="auto"/>
            <w:right w:val="none" w:sz="0" w:space="0" w:color="auto"/>
          </w:divBdr>
        </w:div>
      </w:divsChild>
    </w:div>
    <w:div w:id="326978682">
      <w:bodyDiv w:val="1"/>
      <w:marLeft w:val="0"/>
      <w:marRight w:val="0"/>
      <w:marTop w:val="0"/>
      <w:marBottom w:val="0"/>
      <w:divBdr>
        <w:top w:val="none" w:sz="0" w:space="0" w:color="auto"/>
        <w:left w:val="none" w:sz="0" w:space="0" w:color="auto"/>
        <w:bottom w:val="none" w:sz="0" w:space="0" w:color="auto"/>
        <w:right w:val="none" w:sz="0" w:space="0" w:color="auto"/>
      </w:divBdr>
      <w:divsChild>
        <w:div w:id="627276102">
          <w:marLeft w:val="0"/>
          <w:marRight w:val="0"/>
          <w:marTop w:val="0"/>
          <w:marBottom w:val="0"/>
          <w:divBdr>
            <w:top w:val="none" w:sz="0" w:space="0" w:color="auto"/>
            <w:left w:val="none" w:sz="0" w:space="0" w:color="auto"/>
            <w:bottom w:val="none" w:sz="0" w:space="0" w:color="auto"/>
            <w:right w:val="none" w:sz="0" w:space="0" w:color="auto"/>
          </w:divBdr>
          <w:divsChild>
            <w:div w:id="19678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10892">
      <w:bodyDiv w:val="1"/>
      <w:marLeft w:val="0"/>
      <w:marRight w:val="0"/>
      <w:marTop w:val="0"/>
      <w:marBottom w:val="0"/>
      <w:divBdr>
        <w:top w:val="none" w:sz="0" w:space="0" w:color="auto"/>
        <w:left w:val="none" w:sz="0" w:space="0" w:color="auto"/>
        <w:bottom w:val="none" w:sz="0" w:space="0" w:color="auto"/>
        <w:right w:val="none" w:sz="0" w:space="0" w:color="auto"/>
      </w:divBdr>
      <w:divsChild>
        <w:div w:id="1530875570">
          <w:marLeft w:val="0"/>
          <w:marRight w:val="0"/>
          <w:marTop w:val="0"/>
          <w:marBottom w:val="0"/>
          <w:divBdr>
            <w:top w:val="none" w:sz="0" w:space="0" w:color="auto"/>
            <w:left w:val="none" w:sz="0" w:space="0" w:color="auto"/>
            <w:bottom w:val="none" w:sz="0" w:space="0" w:color="auto"/>
            <w:right w:val="none" w:sz="0" w:space="0" w:color="auto"/>
          </w:divBdr>
        </w:div>
      </w:divsChild>
    </w:div>
    <w:div w:id="480850772">
      <w:bodyDiv w:val="1"/>
      <w:marLeft w:val="0"/>
      <w:marRight w:val="0"/>
      <w:marTop w:val="0"/>
      <w:marBottom w:val="0"/>
      <w:divBdr>
        <w:top w:val="none" w:sz="0" w:space="0" w:color="auto"/>
        <w:left w:val="none" w:sz="0" w:space="0" w:color="auto"/>
        <w:bottom w:val="none" w:sz="0" w:space="0" w:color="auto"/>
        <w:right w:val="none" w:sz="0" w:space="0" w:color="auto"/>
      </w:divBdr>
    </w:div>
    <w:div w:id="496770812">
      <w:bodyDiv w:val="1"/>
      <w:marLeft w:val="0"/>
      <w:marRight w:val="0"/>
      <w:marTop w:val="0"/>
      <w:marBottom w:val="0"/>
      <w:divBdr>
        <w:top w:val="none" w:sz="0" w:space="0" w:color="auto"/>
        <w:left w:val="none" w:sz="0" w:space="0" w:color="auto"/>
        <w:bottom w:val="none" w:sz="0" w:space="0" w:color="auto"/>
        <w:right w:val="none" w:sz="0" w:space="0" w:color="auto"/>
      </w:divBdr>
    </w:div>
    <w:div w:id="745760372">
      <w:bodyDiv w:val="1"/>
      <w:marLeft w:val="0"/>
      <w:marRight w:val="0"/>
      <w:marTop w:val="0"/>
      <w:marBottom w:val="0"/>
      <w:divBdr>
        <w:top w:val="none" w:sz="0" w:space="0" w:color="auto"/>
        <w:left w:val="none" w:sz="0" w:space="0" w:color="auto"/>
        <w:bottom w:val="none" w:sz="0" w:space="0" w:color="auto"/>
        <w:right w:val="none" w:sz="0" w:space="0" w:color="auto"/>
      </w:divBdr>
    </w:div>
    <w:div w:id="1272125090">
      <w:bodyDiv w:val="1"/>
      <w:marLeft w:val="0"/>
      <w:marRight w:val="0"/>
      <w:marTop w:val="0"/>
      <w:marBottom w:val="0"/>
      <w:divBdr>
        <w:top w:val="none" w:sz="0" w:space="0" w:color="auto"/>
        <w:left w:val="none" w:sz="0" w:space="0" w:color="auto"/>
        <w:bottom w:val="none" w:sz="0" w:space="0" w:color="auto"/>
        <w:right w:val="none" w:sz="0" w:space="0" w:color="auto"/>
      </w:divBdr>
      <w:divsChild>
        <w:div w:id="170726653">
          <w:marLeft w:val="0"/>
          <w:marRight w:val="0"/>
          <w:marTop w:val="0"/>
          <w:marBottom w:val="0"/>
          <w:divBdr>
            <w:top w:val="none" w:sz="0" w:space="0" w:color="auto"/>
            <w:left w:val="none" w:sz="0" w:space="0" w:color="auto"/>
            <w:bottom w:val="none" w:sz="0" w:space="0" w:color="auto"/>
            <w:right w:val="none" w:sz="0" w:space="0" w:color="auto"/>
          </w:divBdr>
        </w:div>
        <w:div w:id="715197246">
          <w:marLeft w:val="0"/>
          <w:marRight w:val="0"/>
          <w:marTop w:val="0"/>
          <w:marBottom w:val="0"/>
          <w:divBdr>
            <w:top w:val="none" w:sz="0" w:space="0" w:color="auto"/>
            <w:left w:val="none" w:sz="0" w:space="0" w:color="auto"/>
            <w:bottom w:val="none" w:sz="0" w:space="0" w:color="auto"/>
            <w:right w:val="none" w:sz="0" w:space="0" w:color="auto"/>
          </w:divBdr>
        </w:div>
        <w:div w:id="1590772022">
          <w:marLeft w:val="0"/>
          <w:marRight w:val="0"/>
          <w:marTop w:val="0"/>
          <w:marBottom w:val="0"/>
          <w:divBdr>
            <w:top w:val="none" w:sz="0" w:space="0" w:color="auto"/>
            <w:left w:val="none" w:sz="0" w:space="0" w:color="auto"/>
            <w:bottom w:val="none" w:sz="0" w:space="0" w:color="auto"/>
            <w:right w:val="none" w:sz="0" w:space="0" w:color="auto"/>
          </w:divBdr>
        </w:div>
      </w:divsChild>
    </w:div>
    <w:div w:id="1332291031">
      <w:bodyDiv w:val="1"/>
      <w:marLeft w:val="0"/>
      <w:marRight w:val="0"/>
      <w:marTop w:val="0"/>
      <w:marBottom w:val="0"/>
      <w:divBdr>
        <w:top w:val="none" w:sz="0" w:space="0" w:color="auto"/>
        <w:left w:val="none" w:sz="0" w:space="0" w:color="auto"/>
        <w:bottom w:val="none" w:sz="0" w:space="0" w:color="auto"/>
        <w:right w:val="none" w:sz="0" w:space="0" w:color="auto"/>
      </w:divBdr>
      <w:divsChild>
        <w:div w:id="1927616239">
          <w:marLeft w:val="0"/>
          <w:marRight w:val="0"/>
          <w:marTop w:val="0"/>
          <w:marBottom w:val="0"/>
          <w:divBdr>
            <w:top w:val="none" w:sz="0" w:space="0" w:color="auto"/>
            <w:left w:val="none" w:sz="0" w:space="0" w:color="auto"/>
            <w:bottom w:val="none" w:sz="0" w:space="0" w:color="auto"/>
            <w:right w:val="none" w:sz="0" w:space="0" w:color="auto"/>
          </w:divBdr>
          <w:divsChild>
            <w:div w:id="27637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104">
      <w:bodyDiv w:val="1"/>
      <w:marLeft w:val="0"/>
      <w:marRight w:val="0"/>
      <w:marTop w:val="0"/>
      <w:marBottom w:val="0"/>
      <w:divBdr>
        <w:top w:val="none" w:sz="0" w:space="0" w:color="auto"/>
        <w:left w:val="none" w:sz="0" w:space="0" w:color="auto"/>
        <w:bottom w:val="none" w:sz="0" w:space="0" w:color="auto"/>
        <w:right w:val="none" w:sz="0" w:space="0" w:color="auto"/>
      </w:divBdr>
      <w:divsChild>
        <w:div w:id="1312901469">
          <w:marLeft w:val="0"/>
          <w:marRight w:val="0"/>
          <w:marTop w:val="0"/>
          <w:marBottom w:val="0"/>
          <w:divBdr>
            <w:top w:val="none" w:sz="0" w:space="0" w:color="auto"/>
            <w:left w:val="none" w:sz="0" w:space="0" w:color="auto"/>
            <w:bottom w:val="none" w:sz="0" w:space="0" w:color="auto"/>
            <w:right w:val="none" w:sz="0" w:space="0" w:color="auto"/>
          </w:divBdr>
        </w:div>
        <w:div w:id="121583217">
          <w:marLeft w:val="0"/>
          <w:marRight w:val="0"/>
          <w:marTop w:val="0"/>
          <w:marBottom w:val="0"/>
          <w:divBdr>
            <w:top w:val="none" w:sz="0" w:space="0" w:color="auto"/>
            <w:left w:val="none" w:sz="0" w:space="0" w:color="auto"/>
            <w:bottom w:val="none" w:sz="0" w:space="0" w:color="auto"/>
            <w:right w:val="none" w:sz="0" w:space="0" w:color="auto"/>
          </w:divBdr>
        </w:div>
        <w:div w:id="855653806">
          <w:marLeft w:val="0"/>
          <w:marRight w:val="0"/>
          <w:marTop w:val="0"/>
          <w:marBottom w:val="0"/>
          <w:divBdr>
            <w:top w:val="none" w:sz="0" w:space="0" w:color="auto"/>
            <w:left w:val="none" w:sz="0" w:space="0" w:color="auto"/>
            <w:bottom w:val="none" w:sz="0" w:space="0" w:color="auto"/>
            <w:right w:val="none" w:sz="0" w:space="0" w:color="auto"/>
          </w:divBdr>
        </w:div>
      </w:divsChild>
    </w:div>
    <w:div w:id="193339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4E346-F82E-4FDA-BFC9-379515F30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6</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11</cp:revision>
  <cp:lastPrinted>2017-01-16T02:56:00Z</cp:lastPrinted>
  <dcterms:created xsi:type="dcterms:W3CDTF">2017-01-15T18:43:00Z</dcterms:created>
  <dcterms:modified xsi:type="dcterms:W3CDTF">2017-01-17T19:49:00Z</dcterms:modified>
</cp:coreProperties>
</file>