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161"/>
        <w:tblW w:w="9684" w:type="dxa"/>
        <w:tblLook w:val="04A0" w:firstRow="1" w:lastRow="0" w:firstColumn="1" w:lastColumn="0" w:noHBand="0" w:noVBand="1"/>
      </w:tblPr>
      <w:tblGrid>
        <w:gridCol w:w="2873"/>
        <w:gridCol w:w="6811"/>
      </w:tblGrid>
      <w:tr w:rsidR="006054EE" w:rsidRPr="00067267" w:rsidTr="00866B0F">
        <w:trPr>
          <w:trHeight w:val="1982"/>
        </w:trPr>
        <w:tc>
          <w:tcPr>
            <w:tcW w:w="2873" w:type="dxa"/>
            <w:shd w:val="clear" w:color="auto" w:fill="auto"/>
          </w:tcPr>
          <w:p w:rsidR="006054EE" w:rsidRPr="00067267" w:rsidRDefault="003051E6" w:rsidP="00D12B47">
            <w:pPr>
              <w:spacing w:after="0" w:line="240" w:lineRule="auto"/>
              <w:ind w:right="33"/>
              <w:contextualSpacing/>
              <w:rPr>
                <w:rFonts w:cs="Calibri"/>
                <w:sz w:val="20"/>
                <w:szCs w:val="20"/>
              </w:rPr>
            </w:pPr>
            <w:bookmarkStart w:id="0" w:name="_Toc471231410"/>
            <w:r w:rsidRPr="00067267">
              <w:rPr>
                <w:noProof/>
                <w:lang w:val="en-US"/>
              </w:rPr>
              <w:drawing>
                <wp:inline distT="0" distB="0" distL="0" distR="0" wp14:anchorId="1B93B5BA" wp14:editId="0CAF5D7E">
                  <wp:extent cx="1565275" cy="7975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044" r="40807"/>
                          <a:stretch>
                            <a:fillRect/>
                          </a:stretch>
                        </pic:blipFill>
                        <pic:spPr bwMode="auto">
                          <a:xfrm>
                            <a:off x="0" y="0"/>
                            <a:ext cx="1565275" cy="797560"/>
                          </a:xfrm>
                          <a:prstGeom prst="rect">
                            <a:avLst/>
                          </a:prstGeom>
                          <a:noFill/>
                          <a:ln>
                            <a:noFill/>
                          </a:ln>
                        </pic:spPr>
                      </pic:pic>
                    </a:graphicData>
                  </a:graphic>
                </wp:inline>
              </w:drawing>
            </w:r>
          </w:p>
          <w:p w:rsidR="00E828BD" w:rsidRPr="00067267" w:rsidRDefault="00E828BD" w:rsidP="00D12B47">
            <w:pPr>
              <w:spacing w:after="0" w:line="240" w:lineRule="auto"/>
              <w:ind w:right="33"/>
              <w:contextualSpacing/>
              <w:rPr>
                <w:rFonts w:cs="Calibri"/>
                <w:sz w:val="20"/>
                <w:szCs w:val="20"/>
              </w:rPr>
            </w:pPr>
          </w:p>
          <w:p w:rsidR="006054EE" w:rsidRPr="00067267" w:rsidRDefault="006054EE" w:rsidP="00D12B47">
            <w:pPr>
              <w:spacing w:after="0" w:line="240" w:lineRule="auto"/>
              <w:ind w:right="33"/>
              <w:contextualSpacing/>
              <w:rPr>
                <w:rFonts w:cs="Calibri"/>
                <w:sz w:val="20"/>
                <w:szCs w:val="20"/>
              </w:rPr>
            </w:pPr>
          </w:p>
          <w:p w:rsidR="006054EE" w:rsidRPr="00067267" w:rsidRDefault="006054EE" w:rsidP="00D12B47">
            <w:pPr>
              <w:spacing w:after="0" w:line="240" w:lineRule="auto"/>
              <w:ind w:right="33"/>
              <w:contextualSpacing/>
              <w:rPr>
                <w:rFonts w:cs="Calibri"/>
                <w:sz w:val="12"/>
                <w:szCs w:val="20"/>
              </w:rPr>
            </w:pPr>
          </w:p>
        </w:tc>
        <w:tc>
          <w:tcPr>
            <w:tcW w:w="6811" w:type="dxa"/>
            <w:vMerge w:val="restart"/>
            <w:shd w:val="clear" w:color="auto" w:fill="auto"/>
          </w:tcPr>
          <w:p w:rsidR="006054EE" w:rsidRPr="00067267" w:rsidRDefault="003011BA" w:rsidP="004B0565">
            <w:pPr>
              <w:pStyle w:val="Heading1"/>
              <w:spacing w:before="79" w:line="235" w:lineRule="auto"/>
              <w:ind w:left="0" w:right="289" w:firstLine="0"/>
              <w:jc w:val="left"/>
              <w:rPr>
                <w:rFonts w:cs="Calibri"/>
                <w:sz w:val="36"/>
                <w:szCs w:val="36"/>
                <w:lang w:val="en-US"/>
              </w:rPr>
            </w:pPr>
            <w:r w:rsidRPr="00067267">
              <w:rPr>
                <w:rFonts w:cs="Calibri"/>
                <w:sz w:val="36"/>
                <w:szCs w:val="36"/>
                <w:lang w:val="en-US"/>
              </w:rPr>
              <w:t>Trigger Factors of Fraud Triangle Toward Fraud On Financial Repo</w:t>
            </w:r>
            <w:r w:rsidR="008151D0" w:rsidRPr="00067267">
              <w:rPr>
                <w:rFonts w:cs="Calibri"/>
                <w:sz w:val="36"/>
                <w:szCs w:val="36"/>
                <w:lang w:val="en-US"/>
              </w:rPr>
              <w:t>rting Moderated by Integration o</w:t>
            </w:r>
            <w:r w:rsidRPr="00067267">
              <w:rPr>
                <w:rFonts w:cs="Calibri"/>
                <w:sz w:val="36"/>
                <w:szCs w:val="36"/>
                <w:lang w:val="en-US"/>
              </w:rPr>
              <w:t>f Technology Industry 4.0</w:t>
            </w:r>
            <w:r w:rsidR="009C5ED1" w:rsidRPr="00067267">
              <w:rPr>
                <w:rFonts w:cs="Calibri"/>
                <w:sz w:val="36"/>
                <w:szCs w:val="36"/>
                <w:lang w:val="en-US"/>
              </w:rPr>
              <w:t xml:space="preserve"> </w:t>
            </w:r>
            <w:r w:rsidR="00D71578" w:rsidRPr="00067267">
              <w:rPr>
                <w:rFonts w:cs="Calibri"/>
                <w:sz w:val="36"/>
                <w:szCs w:val="36"/>
                <w:lang w:val="en-US"/>
              </w:rPr>
              <w:t xml:space="preserve"> </w:t>
            </w:r>
          </w:p>
          <w:p w:rsidR="00D07631" w:rsidRPr="00067267" w:rsidRDefault="00D07631" w:rsidP="00D07631">
            <w:pPr>
              <w:rPr>
                <w:lang w:val="en-US"/>
              </w:rPr>
            </w:pPr>
          </w:p>
          <w:p w:rsidR="006054EE" w:rsidRPr="00067267" w:rsidRDefault="006454EF" w:rsidP="00674015">
            <w:pPr>
              <w:spacing w:after="0" w:line="240" w:lineRule="auto"/>
              <w:ind w:right="33"/>
              <w:rPr>
                <w:rFonts w:cs="Calibri"/>
                <w:szCs w:val="21"/>
                <w:shd w:val="clear" w:color="auto" w:fill="FFFFFF"/>
              </w:rPr>
            </w:pPr>
            <w:r w:rsidRPr="00067267">
              <w:t>Agoestina Mappadang</w:t>
            </w:r>
            <w:r w:rsidR="00674015" w:rsidRPr="00067267">
              <w:rPr>
                <w:rFonts w:cs="Calibri"/>
                <w:szCs w:val="21"/>
                <w:shd w:val="clear" w:color="auto" w:fill="FFFFFF"/>
                <w:vertAlign w:val="superscript"/>
                <w:lang w:val="en-US"/>
              </w:rPr>
              <w:t>1</w:t>
            </w:r>
            <w:r w:rsidR="00841E48" w:rsidRPr="00067267">
              <w:rPr>
                <w:rFonts w:cs="Calibri"/>
                <w:b/>
                <w:szCs w:val="21"/>
                <w:shd w:val="clear" w:color="auto" w:fill="FFFFFF"/>
                <w:lang w:val="en-US"/>
              </w:rPr>
              <w:t>*</w:t>
            </w:r>
            <w:r w:rsidR="00674015" w:rsidRPr="00067267">
              <w:rPr>
                <w:rFonts w:cs="Calibri"/>
                <w:szCs w:val="21"/>
                <w:shd w:val="clear" w:color="auto" w:fill="FFFFFF"/>
                <w:lang w:val="en-US"/>
              </w:rPr>
              <w:t>,</w:t>
            </w:r>
            <w:r w:rsidR="00674015" w:rsidRPr="00067267">
              <w:t xml:space="preserve"> </w:t>
            </w:r>
            <w:r w:rsidRPr="00067267">
              <w:rPr>
                <w:lang w:val="en-US"/>
              </w:rPr>
              <w:t xml:space="preserve"> Yuliansyah</w:t>
            </w:r>
            <w:r w:rsidR="00674015" w:rsidRPr="00067267">
              <w:rPr>
                <w:rFonts w:cs="Calibri"/>
                <w:szCs w:val="21"/>
                <w:shd w:val="clear" w:color="auto" w:fill="FFFFFF"/>
                <w:vertAlign w:val="superscript"/>
                <w:lang w:val="en-US"/>
              </w:rPr>
              <w:t>2</w:t>
            </w:r>
          </w:p>
          <w:p w:rsidR="0008700E" w:rsidRPr="00067267" w:rsidRDefault="0008700E" w:rsidP="00D12B47">
            <w:pPr>
              <w:spacing w:after="0" w:line="240" w:lineRule="auto"/>
              <w:ind w:right="33"/>
              <w:rPr>
                <w:rFonts w:cs="Calibri"/>
                <w:bCs/>
                <w:szCs w:val="24"/>
              </w:rPr>
            </w:pPr>
          </w:p>
          <w:p w:rsidR="006054EE" w:rsidRPr="00067267" w:rsidRDefault="006054EE" w:rsidP="009D2473">
            <w:pPr>
              <w:spacing w:after="0" w:line="240" w:lineRule="auto"/>
              <w:rPr>
                <w:rFonts w:cs="Calibri"/>
                <w:iCs/>
                <w:sz w:val="28"/>
                <w:szCs w:val="28"/>
              </w:rPr>
            </w:pPr>
            <w:r w:rsidRPr="00067267">
              <w:rPr>
                <w:rFonts w:cs="Calibri"/>
                <w:b/>
                <w:iCs/>
                <w:sz w:val="28"/>
                <w:szCs w:val="28"/>
              </w:rPr>
              <w:t>Abstract</w:t>
            </w:r>
          </w:p>
          <w:p w:rsidR="0060330A" w:rsidRPr="00067267" w:rsidRDefault="003011BA" w:rsidP="003512C9">
            <w:pPr>
              <w:pStyle w:val="BodyText"/>
              <w:ind w:right="116"/>
              <w:jc w:val="both"/>
              <w:rPr>
                <w:rFonts w:ascii="Calibri" w:hAnsi="Calibri" w:cs="Calibri"/>
                <w:sz w:val="22"/>
                <w:szCs w:val="22"/>
              </w:rPr>
            </w:pPr>
            <w:r w:rsidRPr="00067267">
              <w:rPr>
                <w:rFonts w:ascii="Calibri" w:hAnsi="Calibri" w:cs="Calibri"/>
                <w:sz w:val="22"/>
                <w:szCs w:val="22"/>
                <w:lang w:val="id-ID"/>
              </w:rPr>
              <w:t xml:space="preserve">This study examines triggers factors of the fraud triangle, core of all fraud auditing standards, for assessing the likelihood of fraudulent financial reporting. </w:t>
            </w:r>
            <w:r w:rsidR="002365CA" w:rsidRPr="00067267">
              <w:rPr>
                <w:rFonts w:ascii="Calibri" w:hAnsi="Calibri" w:cs="Calibri"/>
                <w:sz w:val="22"/>
                <w:szCs w:val="22"/>
              </w:rPr>
              <w:t>O</w:t>
            </w:r>
            <w:r w:rsidRPr="00067267">
              <w:rPr>
                <w:rFonts w:ascii="Calibri" w:hAnsi="Calibri" w:cs="Calibri"/>
                <w:sz w:val="22"/>
                <w:szCs w:val="22"/>
                <w:lang w:val="id-ID"/>
              </w:rPr>
              <w:t xml:space="preserve">ur research uses the integration of technology 4.0 as a moderating variable on fraudulent financial reporting. This study also aims to determine fraud with </w:t>
            </w:r>
            <w:r w:rsidRPr="00067267">
              <w:rPr>
                <w:rFonts w:ascii="Calibri" w:hAnsi="Calibri" w:cs="Calibri"/>
                <w:sz w:val="22"/>
                <w:szCs w:val="22"/>
                <w:lang w:val="en"/>
              </w:rPr>
              <w:t xml:space="preserve">the Beneish M-Score as </w:t>
            </w:r>
            <w:r w:rsidRPr="00067267">
              <w:rPr>
                <w:rFonts w:ascii="Calibri" w:hAnsi="Calibri" w:cs="Calibri"/>
                <w:sz w:val="22"/>
                <w:szCs w:val="22"/>
                <w:lang w:val="id-ID"/>
              </w:rPr>
              <w:t xml:space="preserve">a financial forensic tool to gage potential fraud in firms' financial statements. </w:t>
            </w:r>
            <w:r w:rsidRPr="00067267">
              <w:rPr>
                <w:rFonts w:ascii="Calibri" w:hAnsi="Calibri" w:cs="Calibri"/>
                <w:sz w:val="22"/>
                <w:szCs w:val="22"/>
                <w:lang w:val="en"/>
              </w:rPr>
              <w:t>The population of this study was drawn from five priority sectors of the Making Indonesia 4.0 program, namely industries in five manufacturing subsectors listed on the Indonesia Stock Exchange. Results indicate that pressure does not have significant effect on fraudulent financial reporting. On the other hand, the opportunity with effective monitoring variable has a negative significant effect on fraudulent financial reporting, whereas rationalization has a positive significant effect on fraudulent financial reporting. The integration of Industry 4.0 variable moderates the effect of fraud on fraudulent financial reporting.</w:t>
            </w:r>
          </w:p>
          <w:p w:rsidR="003512C9" w:rsidRPr="00067267" w:rsidRDefault="003512C9" w:rsidP="003512C9">
            <w:pPr>
              <w:pStyle w:val="BodyText"/>
              <w:ind w:right="116"/>
              <w:jc w:val="both"/>
              <w:rPr>
                <w:rFonts w:ascii="Calibri" w:hAnsi="Calibri" w:cs="Calibri"/>
                <w:sz w:val="22"/>
                <w:szCs w:val="22"/>
              </w:rPr>
            </w:pPr>
          </w:p>
          <w:p w:rsidR="006054EE" w:rsidRPr="00067267" w:rsidRDefault="006054EE" w:rsidP="00324D14">
            <w:pPr>
              <w:tabs>
                <w:tab w:val="center" w:pos="3968"/>
              </w:tabs>
              <w:spacing w:after="0" w:line="240" w:lineRule="auto"/>
              <w:ind w:left="1091" w:hanging="1091"/>
              <w:jc w:val="both"/>
              <w:rPr>
                <w:b/>
                <w:lang w:val="en-US"/>
              </w:rPr>
            </w:pPr>
            <w:r w:rsidRPr="00067267">
              <w:rPr>
                <w:rFonts w:cs="Calibri"/>
                <w:b/>
                <w:iCs/>
                <w:sz w:val="20"/>
                <w:szCs w:val="20"/>
              </w:rPr>
              <w:t>Keywords:</w:t>
            </w:r>
            <w:r w:rsidR="00674015" w:rsidRPr="00067267">
              <w:rPr>
                <w:rFonts w:cs="Calibri"/>
                <w:b/>
                <w:iCs/>
                <w:sz w:val="20"/>
                <w:szCs w:val="20"/>
                <w:lang w:val="en-US"/>
              </w:rPr>
              <w:t xml:space="preserve"> </w:t>
            </w:r>
            <w:r w:rsidR="0060330A" w:rsidRPr="00067267">
              <w:t xml:space="preserve"> </w:t>
            </w:r>
            <w:r w:rsidR="00324D14" w:rsidRPr="00067267">
              <w:rPr>
                <w:lang w:val="en-US"/>
              </w:rPr>
              <w:t>fraud triangle, technology industry, pressure, opportunity, rationalization</w:t>
            </w:r>
          </w:p>
          <w:p w:rsidR="0005336D" w:rsidRPr="00067267" w:rsidRDefault="00866B0F" w:rsidP="009D2473">
            <w:pPr>
              <w:spacing w:after="0" w:line="240" w:lineRule="auto"/>
              <w:ind w:right="33"/>
              <w:rPr>
                <w:rFonts w:cs="Calibri"/>
                <w:iCs/>
                <w:sz w:val="20"/>
                <w:szCs w:val="20"/>
              </w:rPr>
            </w:pPr>
            <w:r w:rsidRPr="00067267">
              <w:rPr>
                <w:rFonts w:cs="Calibri"/>
                <w:iCs/>
                <w:sz w:val="20"/>
                <w:szCs w:val="20"/>
              </w:rPr>
              <w:pict>
                <v:rect id="_x0000_i1096" style="width:331.85pt;height:1pt" o:hrstd="t" o:hrnoshade="t" o:hr="t" fillcolor="#a0a0a0" stroked="f"/>
              </w:pict>
            </w:r>
          </w:p>
          <w:p w:rsidR="002E0233" w:rsidRPr="00067267" w:rsidRDefault="002E0233" w:rsidP="002E0233">
            <w:pPr>
              <w:pStyle w:val="Heading2"/>
              <w:spacing w:before="0" w:after="0" w:line="240" w:lineRule="auto"/>
              <w:rPr>
                <w:rFonts w:ascii="Garamond" w:hAnsi="Garamond" w:cs="Calibri"/>
                <w:i w:val="0"/>
              </w:rPr>
            </w:pPr>
          </w:p>
          <w:p w:rsidR="0008700E" w:rsidRPr="00067267" w:rsidRDefault="006054EE" w:rsidP="002E0233">
            <w:pPr>
              <w:pStyle w:val="Heading2"/>
              <w:spacing w:before="0" w:after="0" w:line="240" w:lineRule="auto"/>
              <w:rPr>
                <w:rFonts w:ascii="Calibri" w:hAnsi="Calibri" w:cs="Calibri"/>
              </w:rPr>
            </w:pPr>
            <w:r w:rsidRPr="00067267">
              <w:rPr>
                <w:rFonts w:ascii="Calibri" w:hAnsi="Calibri" w:cs="Calibri"/>
                <w:i w:val="0"/>
              </w:rPr>
              <w:t>Introducti</w:t>
            </w:r>
            <w:r w:rsidR="002E0233" w:rsidRPr="00067267">
              <w:rPr>
                <w:rFonts w:ascii="Calibri" w:hAnsi="Calibri" w:cs="Calibri"/>
                <w:i w:val="0"/>
              </w:rPr>
              <w:t xml:space="preserve">on </w:t>
            </w:r>
          </w:p>
          <w:p w:rsidR="00674015" w:rsidRPr="00067267" w:rsidRDefault="00866B0F" w:rsidP="00866B0F">
            <w:pPr>
              <w:spacing w:after="0" w:line="240" w:lineRule="auto"/>
              <w:jc w:val="both"/>
              <w:rPr>
                <w:lang w:val="en-US"/>
              </w:rPr>
            </w:pPr>
            <w:r w:rsidRPr="00067267">
              <w:rPr>
                <w:lang w:val="en-US"/>
              </w:rPr>
              <w:t xml:space="preserve">Fraudulent financial statements are presenting company assets or company revenues greater than they should or presenting company assets or company revenues smaller than they should </w:t>
            </w:r>
            <w:r w:rsidRPr="00067267">
              <w:rPr>
                <w:lang w:val="en-US"/>
              </w:rPr>
              <w:fldChar w:fldCharType="begin" w:fldLock="1"/>
            </w:r>
            <w:r w:rsidRPr="00067267">
              <w:rPr>
                <w:lang w:val="en-US"/>
              </w:rPr>
              <w:instrText>ADDIN CSL_CITATION {"citationItems":[{"id":"ITEM-1","itemData":{"DOI":"10.1016/j.clay.2015.06.031","ISBN":"978-979-061-130-6","ISSN":"01691317","abstract":"We have previously shown that a calcium (Ca) supplement of 1000 mg given in the eTuanakotta, T. M. (2010). Akuntansi Forensik &amp; Audit Investigatif. In Edisi 2. https://doi.org/10.1016/j.clay.2015.06.031vening reduces the overnight and early morning, but not the daytime, excretion of bone resorption markers in postmenopausal women within five years of the menopause. In the present study, we have looked at the effect of splitting the Ca into two doses of 500 mg each given in the morning and evening. We studied 19 healthy women (median age 53 years) who were all within 5 years of the menopause. On the 2 study days, urine was collected from 9 a.m. to 9 p.m. (day collection), and from 9 p.m. to 9 a.m. (night collection); a further fasting (spot) urine sample was obtained at 9 a.m. at the end of the night collection. The first day was a control day; on the second day the subjects ingested 500 mg Ca as the carbonate at 9 a.m. and 9 p.m. We measured pyridinoline cross-links excretion in all the samples, as well as hydroxyproline in the fasting urine. The Ca supplements lowered urinary excretion of the markers during the day (P &lt; 0.01), had only a marginal effect during the night, but reduced excretion significantly in the fasting urine (P &lt; 0.001). In the whole 24-hour period, the falls in resorption markers were small but comparable to those seen after the ingestion of 1 g of Ca in the evening. We conclude that the acute administration of 0.5 g Ca in the morning and evening reduced the markers of bone resorption in early postmenopausal women during the day but not during the following night, whereas the single 1 g supplement had the reverse effect. Over the 24-hour period, there was nothing to choose between the two regimes. Women at this stage in their life cycle probably require a larger Ca supplement if they are not taking estrogen.","author":[{"dropping-particle":"","family":"Tuanakotta","given":"Theodorus M.","non-dropping-particle":"","parse-names":false,"suffix":""}],"container-title":"Edisi 4","id":"ITEM-1","issued":{"date-parts":[["2010"]]},"title":"Akuntansi Forensik &amp; Audit Investigatif","type":"book"},"uris":["http://www.mendeley.com/documents/?uuid=c990a939-523e-4877-b0ef-1ccd51e2caba"]}],"mendeley":{"formattedCitation":"(Tuanakotta, 2010)","plainTextFormattedCitation":"(Tuanakotta, 2010)","previouslyFormattedCitation":"(Tuanakotta, 2010)"},"properties":{"noteIndex":0},"schema":"https://github.com/citation-style-language/schema/raw/master/csl-citation.json"}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Tuanakotta, 2010</w:t>
              </w:r>
            </w:hyperlink>
            <w:r w:rsidRPr="00067267">
              <w:rPr>
                <w:lang w:val="en-US"/>
              </w:rPr>
              <w:t>)</w:t>
            </w:r>
            <w:r w:rsidRPr="00067267">
              <w:rPr>
                <w:lang w:val="en-US"/>
              </w:rPr>
              <w:fldChar w:fldCharType="end"/>
            </w:r>
            <w:r w:rsidRPr="00067267">
              <w:rPr>
                <w:lang w:val="en-US"/>
              </w:rPr>
              <w:t xml:space="preserve">. The report presenting should be in line with financial characteristics: reliable, comparable, understanding, relevant and the report must be normal and neutral. Normal financial report can be reflected on its presentation and information provision accurately so it is free from any fraud.  Fraudulent financial statement  detection is vital because of the devastating consequences of financial statement frauds </w:t>
            </w:r>
            <w:r w:rsidRPr="00067267">
              <w:rPr>
                <w:lang w:val="en-US"/>
              </w:rPr>
              <w:fldChar w:fldCharType="begin" w:fldLock="1"/>
            </w:r>
            <w:r w:rsidRPr="00067267">
              <w:rPr>
                <w:lang w:val="en-US"/>
              </w:rPr>
              <w:instrText>ADDIN CSL_CITATION {"citationItems":[{"id":"ITEM-1","itemData":{"DOI":"10.1016/j.dss.2010.08.006","ISSN":"01679236","abstract":"This paper presents a review of - and classification scheme for - the literature on the application of data mining techniques for the detection of financial fraud. Although financial fraud detection (FFD) is an emerging topic of great importance, a comprehensive literature review of the subject has yet to be carried out. This paper thus represents the first systematic, identifiable and comprehensive academic literature review of the data mining techniques that have been applied to FFD. 49 journal articles on the subject published between 1997 and 2008 was analyzed and classified into four categories of financial fraud (bank fraud, insurance fraud, securities and commodities fraud, and other related financial fraud) and six classes of data mining techniques (classification, regression, clustering, prediction, outlier detection, and visualization). The findings of this review clearly show that data mining techniques have been applied most extensively to the detection of insurance fraud, although corporate fraud and credit card fraud have also attracted a great deal of attention in recent years. In contrast, we find a distinct lack of research on mortgage fraud, money laundering, and securities and commodities fraud. The main data mining techniques used for FFD are logistic models, neural networks, the Bayesian belief network, and decision trees, all of which provide primary solutions to the problems inherent in the detection and classification of fraudulent data. This paper also addresses the gaps between FFD and the needs of the industry to encourage additional research on neglected topics, and concludes with several suggestions for further FFD research. © 2010 Published by Elsevier B.V. All rights reserved.","author":[{"dropping-particle":"","family":"Ngai","given":"E. W.T.","non-dropping-particle":"","parse-names":false,"suffix":""},{"dropping-particle":"","family":"Hu","given":"Yong","non-dropping-particle":"","parse-names":false,"suffix":""},{"dropping-particle":"","family":"Wong","given":"Y. H.","non-dropping-particle":"","parse-names":false,"suffix":""},{"dropping-particle":"","family":"Chen","given":"Yijun","non-dropping-particle":"","parse-names":false,"suffix":""},{"dropping-particle":"","family":"Sun","given":"Xin","non-dropping-particle":"","parse-names":false,"suffix":""}],"container-title":"Decision Support Systems","id":"ITEM-1","issue":"3","issued":{"date-parts":[["2011"]]},"page":"559-569","title":"The application of data mining techniques in financial fraud detection: A classification framework and an academic review of literature","type":"article-journal","volume":"50"},"uris":["http://www.mendeley.com/documents/?uuid=b6d5e20d-0582-47cf-973b-4519321a76ae"]}],"mendeley":{"formattedCitation":"(Ngai, Hu, Wong, Chen, &amp; Sun, 2011)","manualFormatting":"(Ngai et al,  2011)","plainTextFormattedCitation":"(Ngai, Hu, Wong, Chen, &amp; Sun, 2011)","previouslyFormattedCitation":"(Ngai, Hu, Wong, Chen, &amp; Sun, 2011)"},"properties":{"noteIndex":0},"schema":"https://github.com/citation-style-language/schema/raw/master/csl-citation.json"}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Ngai et al</w:t>
              </w:r>
              <w:r w:rsidR="0063205A" w:rsidRPr="00067267">
                <w:rPr>
                  <w:rStyle w:val="Hyperlink"/>
                  <w:u w:val="none"/>
                  <w:lang w:val="en-US"/>
                </w:rPr>
                <w:t>.</w:t>
              </w:r>
              <w:r w:rsidRPr="00067267">
                <w:rPr>
                  <w:rStyle w:val="Hyperlink"/>
                  <w:u w:val="none"/>
                  <w:lang w:val="en-US"/>
                </w:rPr>
                <w:t>,  2011</w:t>
              </w:r>
            </w:hyperlink>
            <w:r w:rsidRPr="00067267">
              <w:rPr>
                <w:lang w:val="en-US"/>
              </w:rPr>
              <w:t>)</w:t>
            </w:r>
            <w:r w:rsidRPr="00067267">
              <w:rPr>
                <w:lang w:val="en-US"/>
              </w:rPr>
              <w:fldChar w:fldCharType="end"/>
            </w:r>
            <w:r w:rsidRPr="00067267">
              <w:rPr>
                <w:lang w:val="en-US"/>
              </w:rPr>
              <w:t xml:space="preserve">. Fraud triangle, fraud diamond and fraud pentagon are framework to explain why such fraud occurs. Fraud behavior are often subtle in the beginning of the transaction </w:t>
            </w:r>
            <w:r w:rsidRPr="00067267">
              <w:rPr>
                <w:lang w:val="en-US"/>
              </w:rPr>
              <w:fldChar w:fldCharType="begin" w:fldLock="1"/>
            </w:r>
            <w:r w:rsidRPr="00067267">
              <w:rPr>
                <w:lang w:val="en-US"/>
              </w:rPr>
              <w:instrText>ADDIN CSL_CITATION {"citationItems":[{"id":"ITEM-1","itemData":{"DOI":"10.1007/s10796-010-9268-7","ISSN":"13873326","abstract":"Insider attacks are often subtle and slow, or preceded by behavioral indicators such as organizational rule-breaking which provide the potential for early warning of malicious intent; both these cases pose the problem of identifying attacks from limited evidence contained within a large volume of event data collected from multiple sources over a long period. This paper proposes a scalable solution to this problem by maintaining long-term estimates that individuals or nodes are attackers, rather than retaining event data for post-facto analysis. These estimates are then used as triggers for more detailed investigation. We identify essential attributes of event data, allowing the use of a wide range of indicators, and show how to apply Bayesian statistics to maintain incremental estimates without global updating. The paper provides a theoretical account of the process, a worked example, and a discussion of its practical implications. The work includes examples that identify subtle attack behaviour in subverted network nodes, but the process is not network-specific and is capable of integrating evidence from other sources, such as behavioral indicators, document access logs and financial records, in addition to events identified by network monitoring. © 2010 Springer Science+Business Media, LLC.","author":[{"dropping-particle":"","family":"Chivers","given":"Howard","non-dropping-particle":"","parse-names":false,"suffix":""},{"dropping-particle":"","family":"Clark","given":"John A.","non-dropping-particle":"","parse-names":false,"suffix":""},{"dropping-particle":"","family":"Nobles","given":"Philip","non-dropping-particle":"","parse-names":false,"suffix":""},{"dropping-particle":"","family":"Shaikh","given":"Siraj A.","non-dropping-particle":"","parse-names":false,"suffix":""},{"dropping-particle":"","family":"Chen","given":"Hao","non-dropping-particle":"","parse-names":false,"suffix":""}],"container-title":"Information Systems Frontiers","id":"ITEM-1","issue":"1","issued":{"date-parts":[["2013"]]},"page":"17-34","title":"Knowing who to watch: Identifying attackers whose actions are hidden within false alarms and background noise","type":"article-journal","volume":"15"},"uris":["http://www.mendeley.com/documents/?uuid=1bc2763e-04ac-490d-86bf-903ae353d07e"]}],"mendeley":{"formattedCitation":"(Chivers, Clark, Nobles, Shaikh, &amp; Chen, 2013)","manualFormatting":"(Chivers et al, 2013)","plainTextFormattedCitation":"(Chivers, Clark, Nobles, Shaikh, &amp; Chen, 2013)","previouslyFormattedCitation":"(Chivers, Clark, Nobles, Shaikh, &amp; Chen, 2013)"},"properties":{"noteIndex":0},"schema":"https://github.com/citation-style-language/schema/raw/master/csl-citation.json"}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Chivers et al</w:t>
              </w:r>
              <w:r w:rsidR="0063205A" w:rsidRPr="00067267">
                <w:rPr>
                  <w:rStyle w:val="Hyperlink"/>
                  <w:u w:val="none"/>
                  <w:lang w:val="en-US"/>
                </w:rPr>
                <w:t>.</w:t>
              </w:r>
              <w:r w:rsidRPr="00067267">
                <w:rPr>
                  <w:rStyle w:val="Hyperlink"/>
                  <w:u w:val="none"/>
                  <w:lang w:val="en-US"/>
                </w:rPr>
                <w:t>, 2013</w:t>
              </w:r>
            </w:hyperlink>
            <w:r w:rsidRPr="00067267">
              <w:rPr>
                <w:lang w:val="en-US"/>
              </w:rPr>
              <w:t>)</w:t>
            </w:r>
            <w:r w:rsidRPr="00067267">
              <w:rPr>
                <w:lang w:val="en-US"/>
              </w:rPr>
              <w:fldChar w:fldCharType="end"/>
            </w:r>
            <w:r w:rsidRPr="00067267">
              <w:rPr>
                <w:lang w:val="en-US"/>
              </w:rPr>
              <w:t xml:space="preserve">. Therefore it is difficult to detect them because regulations play an important role to emphasize the responsibility of auditors to assess the risk of fraudulent financial statement </w:t>
            </w:r>
            <w:r w:rsidR="0063205A" w:rsidRPr="00067267">
              <w:rPr>
                <w:lang w:val="en-US"/>
              </w:rPr>
              <w:t>(</w:t>
            </w:r>
            <w:r w:rsidRPr="00067267">
              <w:rPr>
                <w:lang w:val="en-US"/>
              </w:rPr>
              <w:fldChar w:fldCharType="begin" w:fldLock="1"/>
            </w:r>
            <w:r w:rsidRPr="00067267">
              <w:rPr>
                <w:lang w:val="en-US"/>
              </w:rPr>
              <w:instrText>ADDIN CSL_CITATION {"citationItems":[{"id":"ITEM-1","itemData":{"DOI":"10.1111/j.1467-6281.2009.00278.x","ISSN":"00013072","abstract":"In this article we extend the work of Loebbecke et al. (1989) and illustrate the use of an evidential reasoning approach for developing fraud risk analysis models under the Bayesian framework. New formulations facilitating fraud risk assessments are needed because decision tree approaches previously used to develop analytical models are not appropriate in complex situations involving several interrelated variables. To demonstrate the evidential reasoning approach, a fraud risk assessment formula is derived and illustrated. The fraud risk formula captures the impact of the presence or absence of and interrelationships between the three 'fraud triangle' risk factors: Incentives, Attitude and Opportunities. The formula includes the impact of risks and controls related to these three fraud risk factors as well as the impact of forensic audit procedures and relevant analytical and other procedures that provide evidence for the presence or absence of fraud. This formula may be used in audit practice both to help plan the audit and to assess fraud risk sequentially as audit evidence is obtained. © 2008 Accounting Foundation.","author":[{"dropping-particle":"","family":"Srivastava","given":"Rajendra P.","non-dropping-particle":"","parse-names":false,"suffix":""},{"dropping-particle":"","family":"Mock","given":"Theodore J.","non-dropping-particle":"","parse-names":false,"suffix":""},{"dropping-particle":"","family":"Turner","given":"Jerry L.","non-dropping-particle":"","parse-names":false,"suffix":""}],"container-title":"Abacus","id":"ITEM-1","issue":"1","issued":{"date-parts":[["2009"]]},"page":"66-87","title":"Bayesian fraud risk formula for financial statement audits","type":"article-journal","volume":"45"},"uris":["http://www.mendeley.com/documents/?uuid=fa76d959-d5cd-4c9a-bbc3-a21724c1d1af"]}],"mendeley":{"formattedCitation":"(Srivastava, Mock, &amp; Turner, 2009)","manualFormatting":"(Srivastava et al, 2009)","plainTextFormattedCitation":"(Srivastava, Mock, &amp; Turner, 2009)","previouslyFormattedCitation":"(Srivastava, Mock, &amp; Turner, 2009)"},"properties":{"noteIndex":0},"schema":"https://github.com/citation-style-language/schema/raw/master/csl-citation.json"}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Srivastava et al</w:t>
              </w:r>
              <w:r w:rsidR="0063205A" w:rsidRPr="00067267">
                <w:rPr>
                  <w:rStyle w:val="Hyperlink"/>
                  <w:u w:val="none"/>
                  <w:lang w:val="en-US"/>
                </w:rPr>
                <w:t>.</w:t>
              </w:r>
              <w:r w:rsidRPr="00067267">
                <w:rPr>
                  <w:rStyle w:val="Hyperlink"/>
                  <w:u w:val="none"/>
                  <w:lang w:val="en-US"/>
                </w:rPr>
                <w:t>, 2009</w:t>
              </w:r>
            </w:hyperlink>
            <w:r w:rsidRPr="00067267">
              <w:rPr>
                <w:lang w:val="en-US"/>
              </w:rPr>
              <w:t>)</w:t>
            </w:r>
            <w:r w:rsidRPr="00067267">
              <w:rPr>
                <w:lang w:val="en-US"/>
              </w:rPr>
              <w:fldChar w:fldCharType="end"/>
            </w:r>
            <w:r w:rsidRPr="00067267">
              <w:rPr>
                <w:lang w:val="en-US"/>
              </w:rPr>
              <w:t xml:space="preserve">. According to author in this study, fraudulent financial </w:t>
            </w:r>
            <w:r w:rsidRPr="00067267">
              <w:rPr>
                <w:lang w:val="en-US"/>
              </w:rPr>
              <w:br/>
            </w:r>
          </w:p>
        </w:tc>
      </w:tr>
      <w:tr w:rsidR="006054EE" w:rsidRPr="00067267" w:rsidTr="00866B0F">
        <w:trPr>
          <w:trHeight w:val="10638"/>
        </w:trPr>
        <w:tc>
          <w:tcPr>
            <w:tcW w:w="2873" w:type="dxa"/>
            <w:shd w:val="clear" w:color="auto" w:fill="auto"/>
          </w:tcPr>
          <w:p w:rsidR="00E60B5A" w:rsidRPr="00067267" w:rsidRDefault="006054EE" w:rsidP="00841E48">
            <w:pPr>
              <w:pStyle w:val="FootnoteText"/>
              <w:spacing w:after="0" w:line="240" w:lineRule="auto"/>
              <w:contextualSpacing/>
              <w:rPr>
                <w:rFonts w:cs="Calibri"/>
                <w:b/>
                <w:bCs/>
                <w:sz w:val="18"/>
                <w:szCs w:val="18"/>
                <w:lang w:val="en-ID"/>
              </w:rPr>
            </w:pPr>
            <w:r w:rsidRPr="00067267">
              <w:rPr>
                <w:rFonts w:cs="Calibri"/>
                <w:b/>
                <w:bCs/>
                <w:sz w:val="18"/>
                <w:szCs w:val="18"/>
              </w:rPr>
              <w:t>AFFILIATION:</w:t>
            </w:r>
          </w:p>
          <w:p w:rsidR="00A33E85" w:rsidRPr="00067267" w:rsidRDefault="00480DEB" w:rsidP="00D12B47">
            <w:pPr>
              <w:tabs>
                <w:tab w:val="left" w:pos="4032"/>
              </w:tabs>
              <w:spacing w:after="0" w:line="240" w:lineRule="auto"/>
              <w:contextualSpacing/>
              <w:rPr>
                <w:rFonts w:cs="Calibri"/>
                <w:sz w:val="18"/>
                <w:szCs w:val="18"/>
                <w:lang w:val="en-US"/>
              </w:rPr>
            </w:pPr>
            <w:r w:rsidRPr="00067267">
              <w:rPr>
                <w:rFonts w:cs="Calibri"/>
                <w:sz w:val="18"/>
                <w:szCs w:val="18"/>
                <w:vertAlign w:val="superscript"/>
                <w:lang w:val="en-US"/>
              </w:rPr>
              <w:t>1</w:t>
            </w:r>
            <w:r w:rsidR="00A33E85" w:rsidRPr="00067267">
              <w:rPr>
                <w:rFonts w:cs="Calibri"/>
                <w:sz w:val="18"/>
                <w:szCs w:val="18"/>
                <w:lang w:val="en-US"/>
              </w:rPr>
              <w:t>Faculty of Economics, Universitas Budi Luhur, Indonesia</w:t>
            </w:r>
          </w:p>
          <w:p w:rsidR="006054EE" w:rsidRPr="00067267" w:rsidRDefault="00A33E85" w:rsidP="00D12B47">
            <w:pPr>
              <w:tabs>
                <w:tab w:val="left" w:pos="4032"/>
              </w:tabs>
              <w:spacing w:after="0" w:line="240" w:lineRule="auto"/>
              <w:contextualSpacing/>
              <w:rPr>
                <w:rFonts w:cs="Calibri"/>
                <w:sz w:val="18"/>
                <w:szCs w:val="18"/>
                <w:lang w:val="en-US"/>
              </w:rPr>
            </w:pPr>
            <w:r w:rsidRPr="00067267">
              <w:rPr>
                <w:rFonts w:cs="Calibri"/>
                <w:sz w:val="18"/>
                <w:szCs w:val="24"/>
                <w:vertAlign w:val="superscript"/>
                <w:lang w:val="en-US"/>
              </w:rPr>
              <w:t>2</w:t>
            </w:r>
            <w:r w:rsidR="00C94E74" w:rsidRPr="00067267">
              <w:rPr>
                <w:rFonts w:cs="Calibri"/>
                <w:sz w:val="18"/>
                <w:szCs w:val="24"/>
              </w:rPr>
              <w:t xml:space="preserve">Faculty of </w:t>
            </w:r>
            <w:r w:rsidR="0097661A" w:rsidRPr="00067267">
              <w:rPr>
                <w:rFonts w:cs="Calibri"/>
                <w:sz w:val="18"/>
                <w:szCs w:val="24"/>
                <w:lang w:val="en-US"/>
              </w:rPr>
              <w:t>Economics and Business</w:t>
            </w:r>
            <w:r w:rsidR="00C94E74" w:rsidRPr="00067267">
              <w:rPr>
                <w:rFonts w:cs="Calibri"/>
                <w:sz w:val="18"/>
                <w:szCs w:val="24"/>
              </w:rPr>
              <w:t>, Universit</w:t>
            </w:r>
            <w:r w:rsidR="00CD5AB3" w:rsidRPr="00067267">
              <w:rPr>
                <w:rFonts w:cs="Calibri"/>
                <w:sz w:val="18"/>
                <w:szCs w:val="24"/>
                <w:lang w:val="en-US"/>
              </w:rPr>
              <w:t xml:space="preserve">as </w:t>
            </w:r>
            <w:r w:rsidR="009C5ED1" w:rsidRPr="00067267">
              <w:rPr>
                <w:rFonts w:cs="Calibri"/>
                <w:sz w:val="18"/>
                <w:szCs w:val="24"/>
                <w:lang w:val="en-US"/>
              </w:rPr>
              <w:t>Lampung</w:t>
            </w:r>
            <w:r w:rsidR="00C94E74" w:rsidRPr="00067267">
              <w:rPr>
                <w:rFonts w:cs="Calibri"/>
                <w:sz w:val="18"/>
                <w:szCs w:val="18"/>
                <w:lang w:val="en-US"/>
              </w:rPr>
              <w:t xml:space="preserve">, </w:t>
            </w:r>
            <w:r w:rsidR="0097661A" w:rsidRPr="00067267">
              <w:rPr>
                <w:rFonts w:cs="Calibri"/>
                <w:sz w:val="18"/>
                <w:szCs w:val="18"/>
                <w:lang w:val="en-US"/>
              </w:rPr>
              <w:t>Indonesia</w:t>
            </w:r>
          </w:p>
          <w:p w:rsidR="006054EE" w:rsidRPr="00067267" w:rsidRDefault="006054EE" w:rsidP="00D12B47">
            <w:pPr>
              <w:tabs>
                <w:tab w:val="left" w:pos="4032"/>
              </w:tabs>
              <w:spacing w:after="0" w:line="240" w:lineRule="auto"/>
              <w:contextualSpacing/>
              <w:rPr>
                <w:rFonts w:cs="Calibri"/>
                <w:sz w:val="18"/>
                <w:szCs w:val="18"/>
                <w:highlight w:val="yellow"/>
              </w:rPr>
            </w:pPr>
          </w:p>
          <w:p w:rsidR="00841E48" w:rsidRPr="00067267" w:rsidRDefault="006054EE" w:rsidP="00D12B47">
            <w:pPr>
              <w:pStyle w:val="FootnoteText"/>
              <w:spacing w:after="0" w:line="240" w:lineRule="auto"/>
              <w:contextualSpacing/>
              <w:rPr>
                <w:rFonts w:cs="Calibri"/>
                <w:b/>
                <w:bCs/>
                <w:sz w:val="18"/>
                <w:szCs w:val="18"/>
              </w:rPr>
            </w:pPr>
            <w:r w:rsidRPr="00067267">
              <w:rPr>
                <w:rFonts w:cs="Calibri"/>
                <w:b/>
                <w:bCs/>
                <w:sz w:val="18"/>
                <w:szCs w:val="18"/>
              </w:rPr>
              <w:t>*CORRESPONDENCE:</w:t>
            </w:r>
            <w:r w:rsidR="00674015" w:rsidRPr="00067267">
              <w:t xml:space="preserve"> </w:t>
            </w:r>
            <w:r w:rsidR="001E6FE5" w:rsidRPr="00067267">
              <w:rPr>
                <w:lang w:val="en"/>
              </w:rPr>
              <w:t xml:space="preserve"> </w:t>
            </w:r>
            <w:r w:rsidR="009C5ED1" w:rsidRPr="00067267">
              <w:rPr>
                <w:rFonts w:ascii="Segoe UI" w:hAnsi="Segoe UI" w:cs="Segoe UI"/>
                <w:sz w:val="21"/>
                <w:szCs w:val="21"/>
                <w:shd w:val="clear" w:color="auto" w:fill="FFFFFF"/>
              </w:rPr>
              <w:t xml:space="preserve"> </w:t>
            </w:r>
            <w:r w:rsidR="002C56DE" w:rsidRPr="00067267">
              <w:rPr>
                <w:rFonts w:ascii="Helvetica" w:hAnsi="Helvetica" w:cs="Helvetica"/>
                <w:color w:val="555555"/>
                <w:sz w:val="21"/>
                <w:szCs w:val="21"/>
                <w:shd w:val="clear" w:color="auto" w:fill="FFFFFF"/>
              </w:rPr>
              <w:t xml:space="preserve"> </w:t>
            </w:r>
            <w:r w:rsidR="002C56DE" w:rsidRPr="00067267">
              <w:rPr>
                <w:color w:val="215868"/>
                <w:sz w:val="16"/>
                <w:szCs w:val="16"/>
              </w:rPr>
              <w:t>gustinam7808@gmail.com</w:t>
            </w:r>
          </w:p>
          <w:p w:rsidR="006054EE" w:rsidRPr="00067267" w:rsidRDefault="006054EE" w:rsidP="00D12B47">
            <w:pPr>
              <w:pStyle w:val="FootnoteText"/>
              <w:spacing w:after="0" w:line="240" w:lineRule="auto"/>
              <w:contextualSpacing/>
              <w:rPr>
                <w:rFonts w:cs="Calibri"/>
                <w:sz w:val="18"/>
                <w:szCs w:val="18"/>
              </w:rPr>
            </w:pPr>
          </w:p>
          <w:p w:rsidR="001E6FE5" w:rsidRPr="00067267" w:rsidRDefault="005B292B" w:rsidP="00D12B47">
            <w:pPr>
              <w:pStyle w:val="FootnoteText"/>
              <w:spacing w:after="0" w:line="240" w:lineRule="auto"/>
              <w:contextualSpacing/>
              <w:rPr>
                <w:rFonts w:cs="Calibri"/>
                <w:sz w:val="16"/>
                <w:szCs w:val="16"/>
                <w:lang w:val="en-US"/>
              </w:rPr>
            </w:pPr>
            <w:r w:rsidRPr="00067267">
              <w:rPr>
                <w:rFonts w:cs="Calibri"/>
                <w:b/>
                <w:bCs/>
                <w:sz w:val="18"/>
                <w:szCs w:val="18"/>
              </w:rPr>
              <w:t>THIS ARTICLE IS AVA</w:t>
            </w:r>
            <w:r w:rsidR="006054EE" w:rsidRPr="00067267">
              <w:rPr>
                <w:rFonts w:cs="Calibri"/>
                <w:b/>
                <w:bCs/>
                <w:sz w:val="18"/>
                <w:szCs w:val="18"/>
              </w:rPr>
              <w:t xml:space="preserve">ILABLE IN: </w:t>
            </w:r>
            <w:r w:rsidR="001E6FE5" w:rsidRPr="00067267">
              <w:t xml:space="preserve">  </w:t>
            </w:r>
            <w:hyperlink r:id="rId9" w:history="1">
              <w:r w:rsidR="001E6FE5" w:rsidRPr="00067267">
                <w:rPr>
                  <w:rStyle w:val="Hyperlink"/>
                  <w:rFonts w:cs="Calibri"/>
                  <w:sz w:val="16"/>
                  <w:szCs w:val="16"/>
                  <w:u w:val="none"/>
                </w:rPr>
                <w:t>https://ojs.unud.ac.id/index.php/jiab</w:t>
              </w:r>
            </w:hyperlink>
          </w:p>
          <w:p w:rsidR="006054EE" w:rsidRPr="00067267" w:rsidRDefault="001E6FE5" w:rsidP="00D12B47">
            <w:pPr>
              <w:pStyle w:val="FootnoteText"/>
              <w:spacing w:after="0" w:line="240" w:lineRule="auto"/>
              <w:contextualSpacing/>
              <w:rPr>
                <w:rFonts w:cs="Calibri"/>
                <w:sz w:val="16"/>
                <w:szCs w:val="16"/>
                <w:lang w:val="en-US"/>
              </w:rPr>
            </w:pPr>
            <w:r w:rsidRPr="00067267">
              <w:rPr>
                <w:rFonts w:cs="Calibri"/>
                <w:sz w:val="16"/>
                <w:szCs w:val="16"/>
              </w:rPr>
              <w:t xml:space="preserve"> </w:t>
            </w:r>
          </w:p>
          <w:p w:rsidR="006054EE" w:rsidRPr="00067267" w:rsidRDefault="006054EE" w:rsidP="00D12B47">
            <w:pPr>
              <w:spacing w:after="0" w:line="240" w:lineRule="auto"/>
              <w:contextualSpacing/>
              <w:rPr>
                <w:rFonts w:cs="Calibri"/>
                <w:sz w:val="18"/>
                <w:szCs w:val="18"/>
                <w:highlight w:val="yellow"/>
              </w:rPr>
            </w:pPr>
          </w:p>
          <w:p w:rsidR="001E6FE5" w:rsidRPr="00067267" w:rsidRDefault="001E6FE5" w:rsidP="003512C9">
            <w:pPr>
              <w:spacing w:after="0"/>
              <w:rPr>
                <w:rFonts w:cs="Calibri"/>
                <w:b/>
                <w:sz w:val="18"/>
                <w:szCs w:val="18"/>
              </w:rPr>
            </w:pPr>
            <w:r w:rsidRPr="00067267">
              <w:rPr>
                <w:rFonts w:cs="Calibri"/>
                <w:b/>
                <w:sz w:val="18"/>
                <w:szCs w:val="18"/>
              </w:rPr>
              <w:t xml:space="preserve">DOI: </w:t>
            </w:r>
          </w:p>
          <w:p w:rsidR="001E6FE5" w:rsidRPr="00067267" w:rsidRDefault="000D249E" w:rsidP="003512C9">
            <w:pPr>
              <w:spacing w:after="0"/>
              <w:rPr>
                <w:rFonts w:cs="Calibri"/>
                <w:sz w:val="16"/>
                <w:szCs w:val="16"/>
              </w:rPr>
            </w:pPr>
            <w:r w:rsidRPr="00067267">
              <w:rPr>
                <w:rFonts w:cs="Calibri"/>
                <w:sz w:val="16"/>
                <w:szCs w:val="16"/>
              </w:rPr>
              <w:t>10.24843/JIAB.2021</w:t>
            </w:r>
            <w:r w:rsidR="00F63282" w:rsidRPr="00067267">
              <w:rPr>
                <w:rFonts w:cs="Calibri"/>
                <w:sz w:val="16"/>
                <w:szCs w:val="16"/>
              </w:rPr>
              <w:t>.v16</w:t>
            </w:r>
            <w:r w:rsidR="009C55FD" w:rsidRPr="00067267">
              <w:rPr>
                <w:rFonts w:cs="Calibri"/>
                <w:sz w:val="16"/>
                <w:szCs w:val="16"/>
              </w:rPr>
              <w:t>.i01.p07</w:t>
            </w:r>
          </w:p>
          <w:p w:rsidR="006054EE" w:rsidRPr="00067267" w:rsidRDefault="001E6FE5" w:rsidP="001E6FE5">
            <w:pPr>
              <w:spacing w:after="0" w:line="240" w:lineRule="auto"/>
              <w:ind w:right="33"/>
              <w:contextualSpacing/>
              <w:rPr>
                <w:rFonts w:cs="Calibri"/>
                <w:bCs/>
                <w:sz w:val="18"/>
                <w:szCs w:val="18"/>
              </w:rPr>
            </w:pPr>
            <w:r w:rsidRPr="00067267">
              <w:rPr>
                <w:rFonts w:cs="Calibri"/>
                <w:bCs/>
                <w:sz w:val="18"/>
                <w:szCs w:val="18"/>
              </w:rPr>
              <w:t xml:space="preserve"> </w:t>
            </w:r>
          </w:p>
          <w:p w:rsidR="006054EE" w:rsidRPr="00067267" w:rsidRDefault="006054EE" w:rsidP="00D12B47">
            <w:pPr>
              <w:spacing w:after="0" w:line="240" w:lineRule="auto"/>
              <w:ind w:right="567"/>
              <w:contextualSpacing/>
              <w:rPr>
                <w:rFonts w:cs="Calibri"/>
                <w:b/>
                <w:sz w:val="18"/>
                <w:szCs w:val="18"/>
              </w:rPr>
            </w:pPr>
            <w:r w:rsidRPr="00067267">
              <w:rPr>
                <w:rFonts w:cs="Calibri"/>
                <w:b/>
                <w:sz w:val="18"/>
                <w:szCs w:val="18"/>
              </w:rPr>
              <w:t>CITATION:</w:t>
            </w:r>
          </w:p>
          <w:p w:rsidR="006054EE" w:rsidRPr="00067267" w:rsidRDefault="007E71B0" w:rsidP="00D12B47">
            <w:pPr>
              <w:spacing w:after="0" w:line="240" w:lineRule="auto"/>
              <w:contextualSpacing/>
              <w:rPr>
                <w:rFonts w:cs="Calibri"/>
                <w:bCs/>
                <w:sz w:val="18"/>
                <w:szCs w:val="18"/>
              </w:rPr>
            </w:pPr>
            <w:r w:rsidRPr="00067267">
              <w:rPr>
                <w:rFonts w:cs="Calibri"/>
                <w:bCs/>
                <w:sz w:val="18"/>
                <w:szCs w:val="18"/>
                <w:lang w:val="en-US"/>
              </w:rPr>
              <w:t>Mappadang, A</w:t>
            </w:r>
            <w:r w:rsidRPr="00067267">
              <w:rPr>
                <w:rFonts w:cs="Calibri"/>
                <w:bCs/>
                <w:sz w:val="18"/>
                <w:szCs w:val="18"/>
              </w:rPr>
              <w:t>.</w:t>
            </w:r>
            <w:r w:rsidRPr="00067267">
              <w:rPr>
                <w:rFonts w:cs="Calibri"/>
                <w:bCs/>
                <w:sz w:val="18"/>
                <w:szCs w:val="18"/>
                <w:lang w:val="en-US"/>
              </w:rPr>
              <w:t xml:space="preserve"> &amp; </w:t>
            </w:r>
            <w:r w:rsidR="00324D14" w:rsidRPr="00067267">
              <w:rPr>
                <w:rFonts w:cs="Calibri"/>
                <w:bCs/>
                <w:sz w:val="18"/>
                <w:szCs w:val="18"/>
                <w:lang w:val="en-US"/>
              </w:rPr>
              <w:t xml:space="preserve">Yuliansyah, </w:t>
            </w:r>
            <w:r w:rsidR="008866F3" w:rsidRPr="00067267">
              <w:rPr>
                <w:rFonts w:cs="Calibri"/>
                <w:bCs/>
                <w:sz w:val="18"/>
                <w:szCs w:val="18"/>
                <w:lang w:val="en-US"/>
              </w:rPr>
              <w:t>(20</w:t>
            </w:r>
            <w:r w:rsidR="00324D14" w:rsidRPr="00067267">
              <w:rPr>
                <w:rFonts w:cs="Calibri"/>
                <w:bCs/>
                <w:sz w:val="18"/>
                <w:szCs w:val="18"/>
                <w:lang w:val="en-US"/>
              </w:rPr>
              <w:t>21</w:t>
            </w:r>
            <w:r w:rsidR="008866F3" w:rsidRPr="00067267">
              <w:rPr>
                <w:rFonts w:cs="Calibri"/>
                <w:bCs/>
                <w:sz w:val="18"/>
                <w:szCs w:val="18"/>
                <w:lang w:val="en-US"/>
              </w:rPr>
              <w:t>)</w:t>
            </w:r>
            <w:r w:rsidR="00B60957" w:rsidRPr="00067267">
              <w:t xml:space="preserve"> </w:t>
            </w:r>
            <w:r w:rsidR="00324D14" w:rsidRPr="00067267">
              <w:rPr>
                <w:rFonts w:cs="Calibri"/>
                <w:bCs/>
                <w:sz w:val="18"/>
                <w:szCs w:val="18"/>
                <w:lang w:val="en-US"/>
              </w:rPr>
              <w:t>Trigger Factors of Fraud Triangle Towards Fraudulent On Financial Repo</w:t>
            </w:r>
            <w:r w:rsidR="003B6666" w:rsidRPr="00067267">
              <w:rPr>
                <w:rFonts w:cs="Calibri"/>
                <w:bCs/>
                <w:sz w:val="18"/>
                <w:szCs w:val="18"/>
                <w:lang w:val="en-US"/>
              </w:rPr>
              <w:t>rting Moderated by Integration o</w:t>
            </w:r>
            <w:r w:rsidR="00324D14" w:rsidRPr="00067267">
              <w:rPr>
                <w:rFonts w:cs="Calibri"/>
                <w:bCs/>
                <w:sz w:val="18"/>
                <w:szCs w:val="18"/>
                <w:lang w:val="en-US"/>
              </w:rPr>
              <w:t>f Technology Industry 4.0</w:t>
            </w:r>
            <w:r w:rsidR="00E60B5A" w:rsidRPr="00067267">
              <w:rPr>
                <w:rFonts w:cs="Calibri"/>
                <w:bCs/>
                <w:sz w:val="18"/>
                <w:szCs w:val="18"/>
                <w:lang w:val="en-US"/>
              </w:rPr>
              <w:t>.</w:t>
            </w:r>
            <w:r w:rsidR="00E60B5A" w:rsidRPr="00067267">
              <w:rPr>
                <w:rFonts w:cs="Calibri"/>
                <w:bCs/>
                <w:i/>
                <w:sz w:val="18"/>
                <w:szCs w:val="18"/>
              </w:rPr>
              <w:t xml:space="preserve"> </w:t>
            </w:r>
            <w:r w:rsidR="003512C9" w:rsidRPr="00067267">
              <w:rPr>
                <w:rFonts w:cs="Calibri"/>
                <w:bCs/>
                <w:i/>
                <w:sz w:val="18"/>
                <w:szCs w:val="18"/>
              </w:rPr>
              <w:t>J</w:t>
            </w:r>
            <w:r w:rsidR="006054EE" w:rsidRPr="00067267">
              <w:rPr>
                <w:rFonts w:cs="Calibri"/>
                <w:bCs/>
                <w:i/>
                <w:sz w:val="18"/>
                <w:szCs w:val="18"/>
              </w:rPr>
              <w:t>urnal</w:t>
            </w:r>
            <w:r w:rsidR="003512C9" w:rsidRPr="00067267">
              <w:rPr>
                <w:rFonts w:cs="Calibri"/>
                <w:bCs/>
                <w:i/>
                <w:sz w:val="18"/>
                <w:szCs w:val="18"/>
                <w:lang w:val="en-US"/>
              </w:rPr>
              <w:t xml:space="preserve"> Ilmiah Akuntansi dan Bisnis</w:t>
            </w:r>
            <w:r w:rsidR="006054EE" w:rsidRPr="00067267">
              <w:rPr>
                <w:rFonts w:cs="Calibri"/>
                <w:bCs/>
                <w:sz w:val="18"/>
                <w:szCs w:val="18"/>
              </w:rPr>
              <w:t xml:space="preserve">, </w:t>
            </w:r>
            <w:r w:rsidR="00324D14" w:rsidRPr="00067267">
              <w:rPr>
                <w:rFonts w:cs="Calibri"/>
                <w:bCs/>
                <w:i/>
                <w:sz w:val="18"/>
                <w:szCs w:val="18"/>
                <w:lang w:val="en-US"/>
              </w:rPr>
              <w:t>16</w:t>
            </w:r>
            <w:r w:rsidR="006054EE" w:rsidRPr="00067267">
              <w:rPr>
                <w:rFonts w:cs="Calibri"/>
                <w:bCs/>
                <w:sz w:val="18"/>
                <w:szCs w:val="18"/>
              </w:rPr>
              <w:t>(</w:t>
            </w:r>
            <w:r w:rsidR="00324D14" w:rsidRPr="00067267">
              <w:rPr>
                <w:rFonts w:cs="Calibri"/>
                <w:bCs/>
                <w:sz w:val="18"/>
                <w:szCs w:val="18"/>
                <w:lang w:val="en-US"/>
              </w:rPr>
              <w:t>1</w:t>
            </w:r>
            <w:r w:rsidR="006054EE" w:rsidRPr="00067267">
              <w:rPr>
                <w:rFonts w:cs="Calibri"/>
                <w:bCs/>
                <w:sz w:val="18"/>
                <w:szCs w:val="18"/>
              </w:rPr>
              <w:t xml:space="preserve">), </w:t>
            </w:r>
            <w:r w:rsidR="00067267">
              <w:rPr>
                <w:rFonts w:cs="Calibri"/>
                <w:bCs/>
                <w:sz w:val="18"/>
                <w:szCs w:val="18"/>
                <w:lang w:val="en-US"/>
              </w:rPr>
              <w:t>96-114</w:t>
            </w:r>
            <w:r w:rsidR="006054EE" w:rsidRPr="00067267">
              <w:rPr>
                <w:rFonts w:cs="Calibri"/>
                <w:bCs/>
                <w:sz w:val="18"/>
                <w:szCs w:val="18"/>
              </w:rPr>
              <w:t>.</w:t>
            </w:r>
          </w:p>
          <w:p w:rsidR="006054EE" w:rsidRPr="00067267" w:rsidRDefault="006054EE" w:rsidP="00D12B47">
            <w:pPr>
              <w:spacing w:after="0" w:line="240" w:lineRule="auto"/>
              <w:contextualSpacing/>
              <w:rPr>
                <w:rFonts w:cs="Calibri"/>
                <w:bCs/>
                <w:sz w:val="18"/>
                <w:szCs w:val="18"/>
              </w:rPr>
            </w:pPr>
          </w:p>
          <w:p w:rsidR="006054EE" w:rsidRPr="00067267" w:rsidRDefault="006054EE" w:rsidP="00D12B47">
            <w:pPr>
              <w:spacing w:after="0" w:line="240" w:lineRule="auto"/>
              <w:ind w:right="567"/>
              <w:contextualSpacing/>
              <w:rPr>
                <w:rFonts w:cs="Calibri"/>
                <w:b/>
                <w:sz w:val="18"/>
                <w:szCs w:val="18"/>
              </w:rPr>
            </w:pPr>
            <w:r w:rsidRPr="00067267">
              <w:rPr>
                <w:rFonts w:cs="Calibri"/>
                <w:b/>
                <w:sz w:val="18"/>
                <w:szCs w:val="18"/>
              </w:rPr>
              <w:t>ARTICLE HISTORY</w:t>
            </w:r>
          </w:p>
          <w:p w:rsidR="00E60B5A" w:rsidRPr="00067267" w:rsidRDefault="00E60B5A" w:rsidP="00D12B47">
            <w:pPr>
              <w:spacing w:after="0" w:line="240" w:lineRule="auto"/>
              <w:ind w:right="567"/>
              <w:rPr>
                <w:rFonts w:cs="Calibri"/>
                <w:b/>
                <w:sz w:val="18"/>
                <w:szCs w:val="18"/>
              </w:rPr>
            </w:pPr>
            <w:r w:rsidRPr="00067267">
              <w:rPr>
                <w:rFonts w:cs="Calibri"/>
                <w:b/>
                <w:sz w:val="18"/>
                <w:szCs w:val="18"/>
              </w:rPr>
              <w:t>Received:</w:t>
            </w:r>
          </w:p>
          <w:p w:rsidR="00E60B5A" w:rsidRPr="00067267" w:rsidRDefault="0010357A" w:rsidP="00D12B47">
            <w:pPr>
              <w:spacing w:after="0" w:line="240" w:lineRule="auto"/>
              <w:ind w:right="567"/>
              <w:rPr>
                <w:rFonts w:cs="Calibri"/>
                <w:sz w:val="18"/>
                <w:szCs w:val="18"/>
                <w:lang w:val="en-ID"/>
              </w:rPr>
            </w:pPr>
            <w:r w:rsidRPr="00067267">
              <w:rPr>
                <w:rFonts w:cs="Calibri"/>
                <w:sz w:val="18"/>
                <w:szCs w:val="18"/>
                <w:lang w:val="en-ID"/>
              </w:rPr>
              <w:t>02 August 2020</w:t>
            </w:r>
          </w:p>
          <w:p w:rsidR="00A9723A" w:rsidRPr="00067267" w:rsidRDefault="00A9723A" w:rsidP="00D12B47">
            <w:pPr>
              <w:spacing w:after="0" w:line="240" w:lineRule="auto"/>
              <w:ind w:right="567"/>
              <w:rPr>
                <w:rFonts w:cs="Calibri"/>
                <w:sz w:val="18"/>
                <w:szCs w:val="18"/>
                <w:lang w:val="en-ID"/>
              </w:rPr>
            </w:pPr>
          </w:p>
          <w:p w:rsidR="00E60B5A" w:rsidRPr="00067267" w:rsidRDefault="00E60B5A" w:rsidP="00D12B47">
            <w:pPr>
              <w:spacing w:after="0" w:line="240" w:lineRule="auto"/>
              <w:ind w:right="567"/>
              <w:rPr>
                <w:rFonts w:cs="Calibri"/>
                <w:b/>
                <w:sz w:val="18"/>
                <w:szCs w:val="18"/>
              </w:rPr>
            </w:pPr>
            <w:r w:rsidRPr="00067267">
              <w:rPr>
                <w:rFonts w:cs="Calibri"/>
                <w:b/>
                <w:sz w:val="18"/>
                <w:szCs w:val="18"/>
              </w:rPr>
              <w:t>Revised:</w:t>
            </w:r>
          </w:p>
          <w:p w:rsidR="00CB30EE" w:rsidRPr="00067267" w:rsidRDefault="0010357A" w:rsidP="00D12B47">
            <w:pPr>
              <w:spacing w:after="0" w:line="240" w:lineRule="auto"/>
              <w:ind w:right="567"/>
              <w:rPr>
                <w:rFonts w:cs="Calibri"/>
                <w:sz w:val="18"/>
                <w:szCs w:val="18"/>
                <w:lang w:val="en-ID"/>
              </w:rPr>
            </w:pPr>
            <w:r w:rsidRPr="00067267">
              <w:rPr>
                <w:rFonts w:cs="Calibri"/>
                <w:sz w:val="18"/>
                <w:szCs w:val="18"/>
                <w:lang w:val="en-ID"/>
              </w:rPr>
              <w:t>12 September 2020</w:t>
            </w:r>
          </w:p>
          <w:p w:rsidR="00A9723A" w:rsidRPr="00067267" w:rsidRDefault="00A9723A" w:rsidP="00D12B47">
            <w:pPr>
              <w:spacing w:after="0" w:line="240" w:lineRule="auto"/>
              <w:ind w:right="567"/>
              <w:rPr>
                <w:rFonts w:cs="Calibri"/>
                <w:sz w:val="18"/>
                <w:szCs w:val="18"/>
                <w:lang w:val="en-ID"/>
              </w:rPr>
            </w:pPr>
          </w:p>
          <w:p w:rsidR="00E60B5A" w:rsidRPr="00067267" w:rsidRDefault="00E60B5A" w:rsidP="00D12B47">
            <w:pPr>
              <w:spacing w:after="0" w:line="240" w:lineRule="auto"/>
              <w:ind w:right="567"/>
              <w:rPr>
                <w:rFonts w:cs="Calibri"/>
                <w:b/>
                <w:sz w:val="18"/>
                <w:szCs w:val="18"/>
              </w:rPr>
            </w:pPr>
            <w:r w:rsidRPr="00067267">
              <w:rPr>
                <w:rFonts w:cs="Calibri"/>
                <w:b/>
                <w:sz w:val="18"/>
                <w:szCs w:val="18"/>
              </w:rPr>
              <w:t>Accepted:</w:t>
            </w:r>
          </w:p>
          <w:p w:rsidR="00CB30EE" w:rsidRPr="00067267" w:rsidRDefault="0010357A" w:rsidP="00D12B47">
            <w:pPr>
              <w:spacing w:after="0" w:line="240" w:lineRule="auto"/>
              <w:ind w:right="567"/>
              <w:rPr>
                <w:rFonts w:cs="Calibri"/>
                <w:sz w:val="18"/>
                <w:szCs w:val="18"/>
                <w:lang w:val="en-US"/>
              </w:rPr>
            </w:pPr>
            <w:r w:rsidRPr="00067267">
              <w:rPr>
                <w:rFonts w:cs="Calibri"/>
                <w:sz w:val="18"/>
                <w:szCs w:val="18"/>
                <w:lang w:val="en-US"/>
              </w:rPr>
              <w:t>29 December 2020</w:t>
            </w:r>
          </w:p>
          <w:p w:rsidR="006054EE" w:rsidRPr="00067267" w:rsidRDefault="006054EE" w:rsidP="00D12B47">
            <w:pPr>
              <w:spacing w:after="0" w:line="240" w:lineRule="auto"/>
              <w:ind w:right="567"/>
              <w:contextualSpacing/>
              <w:rPr>
                <w:rFonts w:cs="Calibri"/>
                <w:noProof/>
              </w:rPr>
            </w:pPr>
          </w:p>
        </w:tc>
        <w:tc>
          <w:tcPr>
            <w:tcW w:w="6811" w:type="dxa"/>
            <w:vMerge/>
            <w:shd w:val="clear" w:color="auto" w:fill="auto"/>
          </w:tcPr>
          <w:p w:rsidR="006054EE" w:rsidRPr="00067267" w:rsidRDefault="006054EE" w:rsidP="00D12B47">
            <w:pPr>
              <w:spacing w:after="0" w:line="240" w:lineRule="auto"/>
              <w:ind w:left="35" w:right="33"/>
              <w:contextualSpacing/>
              <w:jc w:val="right"/>
              <w:rPr>
                <w:rFonts w:cs="Calibri"/>
                <w:b/>
                <w:sz w:val="36"/>
                <w:szCs w:val="36"/>
              </w:rPr>
            </w:pPr>
          </w:p>
        </w:tc>
      </w:tr>
    </w:tbl>
    <w:bookmarkEnd w:id="0"/>
    <w:p w:rsidR="00866B0F" w:rsidRPr="00067267" w:rsidRDefault="00866B0F" w:rsidP="00866B0F">
      <w:pPr>
        <w:spacing w:after="0" w:line="240" w:lineRule="auto"/>
        <w:jc w:val="both"/>
        <w:rPr>
          <w:lang w:val="en-US"/>
        </w:rPr>
      </w:pPr>
      <w:r w:rsidRPr="00067267">
        <w:rPr>
          <w:lang w:val="en-US"/>
        </w:rPr>
        <w:lastRenderedPageBreak/>
        <w:t>statement is the disclosure of intentional misstatements of financial reporting that aim to deceive stakeholders.</w:t>
      </w:r>
    </w:p>
    <w:p w:rsidR="00866B0F" w:rsidRPr="00067267" w:rsidRDefault="00866B0F" w:rsidP="00866B0F">
      <w:pPr>
        <w:spacing w:after="0" w:line="240" w:lineRule="auto"/>
        <w:ind w:firstLine="720"/>
        <w:jc w:val="both"/>
        <w:rPr>
          <w:lang w:val="en"/>
        </w:rPr>
      </w:pPr>
      <w:r w:rsidRPr="00067267">
        <w:rPr>
          <w:lang w:val="en-US"/>
        </w:rPr>
        <w:t xml:space="preserve">In the fraud triangle model proposed by </w:t>
      </w:r>
      <w:r w:rsidRPr="00067267">
        <w:rPr>
          <w:lang w:val="en-US"/>
        </w:rPr>
        <w:fldChar w:fldCharType="begin" w:fldLock="1"/>
      </w:r>
      <w:r w:rsidRPr="00067267">
        <w:rPr>
          <w:lang w:val="en-US"/>
        </w:rPr>
        <w:instrText>ADDIN CSL_CITATION {"citationItems":[{"id":"ITEM-1","itemData":{"author":[{"dropping-particle":"","family":"Cressey D.R","given":"","non-dropping-particle":"","parse-names":false,"suffix":""}],"id":"ITEM-1","issued":{"date-parts":[["1953"]]},"publisher":"The Free Press","title":"Other People's money : a study in the psychology of embezzlement illinois","type":"book"},"uris":["http://www.mendeley.com/documents/?uuid=47e2b349-8642-440c-b83f-25746a58f578"]}],"mendeley":{"formattedCitation":"(Cressey D.R, 1953)","manualFormatting":"(Cressey, 1953)","plainTextFormattedCitation":"(Cressey D.R, 1953)","previouslyFormattedCitation":"(Cressey D.R, 1953)"},"properties":{"noteIndex":0},"schema":"https://github.com/citation-style-language/schema/raw/master/csl-citation.json"}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Cressey, 1953</w:t>
        </w:r>
      </w:hyperlink>
      <w:r w:rsidRPr="00067267">
        <w:rPr>
          <w:lang w:val="en-US"/>
        </w:rPr>
        <w:t>)</w:t>
      </w:r>
      <w:r w:rsidRPr="00067267">
        <w:rPr>
          <w:lang w:val="en-US"/>
        </w:rPr>
        <w:fldChar w:fldCharType="end"/>
      </w:r>
      <w:r w:rsidRPr="00067267">
        <w:rPr>
          <w:lang w:val="en-US"/>
        </w:rPr>
        <w:t xml:space="preserve"> pressure is one of the three predictor components of a fraud. The other two elements, namely opportunity and rationalization, are inseparable factors in fraud. These three elements become red lags which affect one's commitment to finally decide to commit or not commit fraud </w:t>
      </w:r>
      <w:r w:rsidRPr="00067267">
        <w:rPr>
          <w:lang w:val="en-US"/>
        </w:rPr>
        <w:fldChar w:fldCharType="begin" w:fldLock="1"/>
      </w:r>
      <w:r w:rsidRPr="00067267">
        <w:rPr>
          <w:lang w:val="en-US"/>
        </w:rPr>
        <w:instrText>ADDIN CSL_CITATION {"citationItems":[{"id":"ITEM-1","itemData":{"DOI":"10.5923/j.ijfa.20170606.01","ISSN":"09218009","abstract":"The objective of this research is to determine whether Altman Z-score and Beneish M-model could detect financial fraud and corporate failure of Enron Corporation. Five-year financial information was collected from the US SEC Edgar database covering the period 1996 to 2000. The Beneish model revealed that the financial statements for the five years studied were manipulated by management. On the basis of the analysis, the researcher argued that stakeholders would be better protected when the two models are used simultaneously than when only the Altman Z-score is used. The paper recommended that Altman Z-score and Beneish M-Model should be used together as an integral part of every audit.","author":[{"dropping-particle":"","family":"MacCarthy","given":"John","non-dropping-particle":"","parse-names":false,"suffix":""}],"container-title":"International Journal of Finance and Accounting","id":"ITEM-1","issue":"6","issued":{"date-parts":[["2017"]]},"page":"159-166","title":"Using Altman Z-score and Beneish M-score models to detect financial fraud and corporate failure : A case study of Enron Corporation","type":"article-journal","volume":"6"},"uris":["http://www.mendeley.com/documents/?uuid=e2c737b8-45c2-45b6-96f2-22c8509c0bc1"]}],"mendeley":{"formattedCitation":"(MacCarthy, 2017)","plainTextFormattedCitation":"(MacCarthy, 2017)","previouslyFormattedCitation":"(MacCarthy, 2017)"},"properties":{"noteIndex":0},"schema":"https://github.com/citation-style-language/schema/raw/master/csl-citation.json"}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MacCarthy, 2017</w:t>
        </w:r>
      </w:hyperlink>
      <w:r w:rsidRPr="00067267">
        <w:rPr>
          <w:lang w:val="en-US"/>
        </w:rPr>
        <w:t>)</w:t>
      </w:r>
      <w:r w:rsidRPr="00067267">
        <w:rPr>
          <w:lang w:val="en-US"/>
        </w:rPr>
        <w:fldChar w:fldCharType="end"/>
      </w:r>
      <w:r w:rsidRPr="00067267">
        <w:rPr>
          <w:lang w:val="en-US"/>
        </w:rPr>
        <w:t>. This is related to the theory of planned behavior.</w:t>
      </w:r>
      <w:r w:rsidR="0063205A" w:rsidRPr="00067267">
        <w:rPr>
          <w:lang w:val="en"/>
        </w:rPr>
        <w:t xml:space="preserve"> Theory of planned behavio</w:t>
      </w:r>
      <w:r w:rsidRPr="00067267">
        <w:rPr>
          <w:lang w:val="en"/>
        </w:rPr>
        <w:t>r is a psychological theory that explains the relationship between intention towards doing behavior. Intention of behavior is influenced by three factors, namely behavioral attitude, subjective norms and perceived behavior control. Information technology in computer networks also increases the attractiveness of fraud because it provides ample opportunities for perpetrators.</w:t>
      </w:r>
      <w:r w:rsidRPr="00067267">
        <w:rPr>
          <w:lang w:val="en"/>
        </w:rPr>
        <w:fldChar w:fldCharType="begin" w:fldLock="1"/>
      </w:r>
      <w:r w:rsidRPr="00067267">
        <w:rPr>
          <w:lang w:val="en"/>
        </w:rPr>
        <w:instrText>ADDIN CSL_CITATION {"citationItems":[{"id":"ITEM-1","itemData":{"DOI":"10.1016/j.accinf.2003.04.001","author":[{"dropping-particle":"","family":"Lynch A","given":"","non-dropping-particle":"","parse-names":false,"suffix":""},{"dropping-particle":"","family":"Gomaa","given":"","non-dropping-particle":"","parse-names":false,"suffix":""}],"container-title":"International journal of Accounting Information System","id":"ITEM-1","issue":"4","issued":{"date-parts":[["2003"]]},"page":"295-308","title":"Understanding the potential impact of infromation technology on the susceptibility of organizationto fraudulent employee behavior","type":"article-journal","volume":"4"},"uris":["http://www.mendeley.com/documents/?uuid=99c3c734-76ae-4cc2-8742-b3dda04bb484"]}],"mendeley":{"formattedCitation":"(Lynch A &amp; Gomaa, 2003)","manualFormatting":" Lynch.A &amp; Gomaa, (2003)","plainTextFormattedCitation":"(Lynch A &amp; Gomaa, 2003)","previouslyFormattedCitation":"(Lynch A &amp; Gomaa, 2003)"},"properties":{"noteIndex":0},"schema":"https://github.com/citation-style-language/schema/raw/master/csl-citation.json"}</w:instrText>
      </w:r>
      <w:r w:rsidRPr="00067267">
        <w:rPr>
          <w:lang w:val="en"/>
        </w:rPr>
        <w:fldChar w:fldCharType="separate"/>
      </w:r>
      <w:r w:rsidRPr="00067267">
        <w:rPr>
          <w:lang w:val="en"/>
        </w:rPr>
        <w:t xml:space="preserve"> </w:t>
      </w:r>
      <w:hyperlink w:anchor="_References_1" w:history="1">
        <w:r w:rsidRPr="00067267">
          <w:rPr>
            <w:rStyle w:val="Hyperlink"/>
            <w:u w:val="none"/>
            <w:lang w:val="en"/>
          </w:rPr>
          <w:t>Lynch. A &amp; Gomaa, (2003)</w:t>
        </w:r>
      </w:hyperlink>
      <w:r w:rsidRPr="00067267">
        <w:rPr>
          <w:lang w:val="en-US"/>
        </w:rPr>
        <w:fldChar w:fldCharType="end"/>
      </w:r>
      <w:r w:rsidRPr="00067267">
        <w:rPr>
          <w:lang w:val="en"/>
        </w:rPr>
        <w:t xml:space="preserve"> explain that in relation to computer fraud, behavioral attitudes towards will consider the consequences of fraud and the benefits that are obtained. In line with agency theory where agents have certain motives to do something based on their interests, on the other hand, principals are not directly involved and weak in supervision. So that the basic assumption in this theory that humans tend to avoid risk is fulfilled because of the weak internal control system. </w:t>
      </w:r>
      <w:r w:rsidRPr="00067267">
        <w:rPr>
          <w:lang w:val="en-US"/>
        </w:rPr>
        <w:t xml:space="preserve">Management tries to keep the company experiencing growth so that one of the easiest growth indicators is assessed by looking at the total assets of the company. So that management often commits fraud by presenting an overstatement of asset conditions </w:t>
      </w:r>
      <w:r w:rsidRPr="00067267">
        <w:rPr>
          <w:lang w:val="en-US"/>
        </w:rPr>
        <w:fldChar w:fldCharType="begin" w:fldLock="1"/>
      </w:r>
      <w:r w:rsidRPr="00067267">
        <w:rPr>
          <w:lang w:val="en-US"/>
        </w:rPr>
        <w:instrText>ADDIN CSL_CITATION {"citationItems":[{"id":"ITEM-1","itemData":{"author":[{"dropping-particle":"","family":"Zimbelman","given":"","non-dropping-particle":"","parse-names":false,"suffix":""},{"dropping-particle":"","family":"Albrect et al","given":"","non-dropping-particle":"","parse-names":false,"suffix":""}],"edition":"4th editio","id":"ITEM-1","issued":{"date-parts":[["2012"]]},"publisher":"Cengange Learning","publisher-place":"South Western","title":"Forensic Accounting","type":"book"},"uris":["http://www.mendeley.com/documents/?uuid=17fa57ba-3ac2-46e2-8b96-12bc3ca5be62"]}],"mendeley":{"formattedCitation":"(Zimbelman &amp; Albrect et al, 2012)","plainTextFormattedCitation":"(Zimbelman &amp; Albrect et al, 2012)","previouslyFormattedCitation":"(Zimbelman &amp; Albrect et al, 2012)"},"properties":{"noteIndex":0},"schema":"https://github.com/citation-style-language/schema/raw/master/csl-citation.json"}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Zimbelman &amp; Albrect, 2012</w:t>
        </w:r>
      </w:hyperlink>
      <w:r w:rsidRPr="00067267">
        <w:rPr>
          <w:lang w:val="en-US"/>
        </w:rPr>
        <w:t>)</w:t>
      </w:r>
      <w:r w:rsidRPr="00067267">
        <w:rPr>
          <w:lang w:val="en-US"/>
        </w:rPr>
        <w:fldChar w:fldCharType="end"/>
      </w:r>
      <w:r w:rsidRPr="00067267">
        <w:rPr>
          <w:lang w:val="en-US"/>
        </w:rPr>
        <w:t xml:space="preserve">. </w:t>
      </w:r>
      <w:r w:rsidRPr="00067267">
        <w:rPr>
          <w:lang w:val="en"/>
        </w:rPr>
        <w:t xml:space="preserve">This allows management to convince itself to commit fraudulent acts without risk of being detected by the principal. Different from the fraud triangle which focus on the perpetrator, the crime theory proposed by </w:t>
      </w:r>
      <w:hyperlink w:anchor="_References_1" w:history="1">
        <w:r w:rsidRPr="00067267">
          <w:rPr>
            <w:rStyle w:val="Hyperlink"/>
            <w:u w:val="none"/>
            <w:lang w:val="en"/>
          </w:rPr>
          <w:fldChar w:fldCharType="begin" w:fldLock="1"/>
        </w:r>
        <w:r w:rsidRPr="00067267">
          <w:rPr>
            <w:rStyle w:val="Hyperlink"/>
            <w:u w:val="none"/>
            <w:lang w:val="en"/>
          </w:rPr>
          <w:instrText>ADDIN CSL_CITATION {"citationItems":[{"id":"ITEM-1","itemData":{"DOI":"10.2307/2094589","ISSN":"00031224","abstract":"In this paper we present a \"routine activity approach\" for analyzing crime rate trends and cycles. Rather than emphasizing the characteristics of offenders, with this approach we concentrate upon the circumstances in which they carry out predatory criminal acts. Most criminal acts require convergence in space and time of likely offenders, suitable targets and the absence of capable guardians against crime. Human ecological theory facilitates an investigation into the way in which social structure produces this convergence, hence allowing illegal activities to feed upon the legal activities of everyday life. In particular, we hypothesize that the dispersion of activities away from households and families increases the opportunity for crime and thus generates higher crime rates. A variety of data is presented in support of the hypothesis, which helps explain crime rate trends in the United States 1947-1974 as a byproduct of changes in such variables as labor force participation and single-adult households.","author":[{"dropping-particle":"","family":"Cohen","given":"Lawrence E.","non-dropping-particle":"","parse-names":false,"suffix":""},{"dropping-particle":"","family":"Felson","given":"Marcus","non-dropping-particle":"","parse-names":false,"suffix":""}],"container-title":"American Sociological Review","id":"ITEM-1","issued":{"date-parts":[["1979"]]},"title":"Social Change and Crime Rate Trends: A Routine Activity Approach","type":"article-journal"},"uris":["http://www.mendeley.com/documents/?uuid=ce679d02-d7fb-4db2-a648-d6a67d232919"]}],"mendeley":{"formattedCitation":"(Cohen &amp; Felson, 1979)","manualFormatting":"Cohen &amp; Felson, (1979)","plainTextFormattedCitation":"(Cohen &amp; Felson, 1979)","previouslyFormattedCitation":"(Cohen &amp; Felson, 1979)"},"properties":{"noteIndex":0},"schema":"https://github.com/citation-style-language/schema/raw/master/csl-citation.json"}</w:instrText>
        </w:r>
        <w:r w:rsidRPr="00067267">
          <w:rPr>
            <w:rStyle w:val="Hyperlink"/>
            <w:u w:val="none"/>
            <w:lang w:val="en"/>
          </w:rPr>
          <w:fldChar w:fldCharType="separate"/>
        </w:r>
        <w:r w:rsidRPr="00067267">
          <w:rPr>
            <w:rStyle w:val="Hyperlink"/>
            <w:u w:val="none"/>
            <w:lang w:val="en"/>
          </w:rPr>
          <w:t>Cohen &amp; Felson, (1979)</w:t>
        </w:r>
        <w:r w:rsidRPr="00067267">
          <w:rPr>
            <w:rStyle w:val="Hyperlink"/>
            <w:u w:val="none"/>
            <w:lang w:val="en-US"/>
          </w:rPr>
          <w:fldChar w:fldCharType="end"/>
        </w:r>
      </w:hyperlink>
      <w:r w:rsidRPr="00067267">
        <w:rPr>
          <w:lang w:val="en"/>
        </w:rPr>
        <w:t xml:space="preserve"> explains the environmental conditions in which fraud occurs plays a role in determining human behavior.</w:t>
      </w:r>
    </w:p>
    <w:p w:rsidR="00866B0F" w:rsidRPr="00067267" w:rsidRDefault="00866B0F" w:rsidP="00866B0F">
      <w:pPr>
        <w:spacing w:after="0" w:line="240" w:lineRule="auto"/>
        <w:ind w:firstLine="720"/>
        <w:jc w:val="both"/>
        <w:rPr>
          <w:lang w:val="en-US"/>
        </w:rPr>
      </w:pPr>
      <w:r w:rsidRPr="00067267">
        <w:rPr>
          <w:lang w:val="en-US"/>
        </w:rPr>
        <w:t xml:space="preserve">The Association of Certified Fraud Examiners </w:t>
      </w:r>
      <w:r w:rsidRPr="00067267">
        <w:rPr>
          <w:lang w:val="en-US"/>
        </w:rPr>
        <w:fldChar w:fldCharType="begin" w:fldLock="1"/>
      </w:r>
      <w:r w:rsidRPr="00067267">
        <w:rPr>
          <w:lang w:val="en-US"/>
        </w:rPr>
        <w:instrText>ADDIN CSL_CITATION {"citationItems":[{"id":"ITEM-1","itemData":{"author":[{"dropping-particle":"","family":"ACFE","given":"","non-dropping-particle":"","parse-names":false,"suffix":""}],"id":"ITEM-1","issued":{"date-parts":[["2018"]]},"title":"Report to the nations 2018 : global study on occupational fraud and abuse. Asia Pacific edition","type":"report"},"uris":["http://www.mendeley.com/documents/?uuid=13726ee8-9086-4916-9c8a-44aae3e0f0d4"]}],"mendeley":{"formattedCitation":"(ACFE, 2018)","plainTextFormattedCitation":"(ACFE, 2018)","previouslyFormattedCitation":"(ACFE, 2018)"},"properties":{"noteIndex":0},"schema":"https://github.com/citation-style-language/schema/raw/master/csl-citation.json"}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ACFE, 2018</w:t>
        </w:r>
      </w:hyperlink>
      <w:r w:rsidRPr="00067267">
        <w:rPr>
          <w:lang w:val="en-US"/>
        </w:rPr>
        <w:t>)</w:t>
      </w:r>
      <w:r w:rsidRPr="00067267">
        <w:rPr>
          <w:lang w:val="en-US"/>
        </w:rPr>
        <w:fldChar w:fldCharType="end"/>
      </w:r>
      <w:r w:rsidRPr="00067267">
        <w:rPr>
          <w:lang w:val="en-US"/>
        </w:rPr>
        <w:t xml:space="preserve"> mapped fraud that occurred in the work environment within the Fraud Tree. ACFE's study states that the majority of fraud cases that occur in the Asia Pacific region are asset misuse (80%), followed by corruption cases (51%) and fraudulent financial statement (13%). In inverse proportion to the number of cases, fraudulent financial statements have the greatest impact of losses with a median of USD 700,000. The majority of companies that are victims of fraud are private companies (39%) and public companies (38%) but publicly listed companies have more intentions in building their image in the minds of the public. The manufacturing industry is the region with the most fraud cases at 17%. One of the causes of this industry is exposed to many cases of fraud because it involves a long and complex production value chain. The longer the process and the more people involved, the process is vulnerable to fraud (</w:t>
      </w:r>
      <w:hyperlink w:anchor="_References_1" w:history="1">
        <w:r w:rsidRPr="00067267">
          <w:rPr>
            <w:rStyle w:val="Hyperlink"/>
            <w:u w:val="none"/>
            <w:lang w:val="en-US"/>
          </w:rPr>
          <w:t>ACFE, 2018</w:t>
        </w:r>
      </w:hyperlink>
      <w:r w:rsidRPr="00067267">
        <w:rPr>
          <w:lang w:val="en-US"/>
        </w:rPr>
        <w:t xml:space="preserve">). According to ACFE the majority of fraud cases occur in midlevel management such as managers (41%) while among ordinary employees (30%) and among owners / executives (26%). But fraud with the biggest loss is based on the owner / executive profile. According to the Standard on Auditing (SA) 240, fraud is an intentional act by any person within the entity while an error represents unintentional act resulting into misstatements of the financial statements.  </w:t>
      </w:r>
    </w:p>
    <w:p w:rsidR="00866B0F" w:rsidRPr="00067267" w:rsidRDefault="00866B0F" w:rsidP="00866B0F">
      <w:pPr>
        <w:spacing w:after="0" w:line="240" w:lineRule="auto"/>
        <w:ind w:firstLine="720"/>
        <w:jc w:val="both"/>
        <w:rPr>
          <w:lang w:val="en-US"/>
        </w:rPr>
      </w:pPr>
      <w:r w:rsidRPr="00067267">
        <w:rPr>
          <w:lang w:val="en-US"/>
        </w:rPr>
        <w:t xml:space="preserve">This study also explains the effect of the Fraud Triangle in detecting financial statement fraud using the Beneish M-score model because the mathematical model can accurately identify the events of manipulation of corporate financial statements compared to other models, namely the Jones or modified Jones models </w:t>
      </w:r>
      <w:r w:rsidRPr="00067267">
        <w:rPr>
          <w:lang w:val="en-US"/>
        </w:rPr>
        <w:fldChar w:fldCharType="begin" w:fldLock="1"/>
      </w:r>
      <w:r w:rsidRPr="00067267">
        <w:rPr>
          <w:lang w:val="en-US"/>
        </w:rPr>
        <w:instrText>ADDIN CSL_CITATION {"citationItems":[{"id":"ITEM-1","itemData":{"DOI":"10.1016/0165-4101(94)90016-7","ISSN":"01654101","abstract":"This paper investigates circumstances under which accruals are predicted to improve earnings' ability to measure firm performance, as reflected in stock returns. The importance of accruals is hypothesized to increase (i) the shorter the performance measurement interval, (ii) the greater the volatility of the firm's working capital requirements and investment and financing activities, and (iii) the longer the firm's operating cycle. Under each of these circumstances, cash flows are predicted to suffer more severely from timing and matching problems that reduce their ability to reflect firm performance. The results of empirical tests are consistent with these predictions.","author":[{"dropping-particle":"","family":"Dechow","given":"M","non-dropping-particle":"","parse-names":false,"suffix":""}],"container-title":"Journal of Accounting and Economics","id":"ITEM-1","issued":{"date-parts":[["1994"]]},"title":"Accounting &amp; Economics The role of accounting accruals","type":"article-journal"},"uris":["http://www.mendeley.com/documents/?uuid=04ef055c-8bdf-4372-b7a6-dbafac6cad02"]}],"mendeley":{"formattedCitation":"(Dechow, 1994)","plainTextFormattedCitation":"(Dechow, 1994)","previouslyFormattedCitation":"(Dechow, 1994)"},"properties":{"noteIndex":0},"schema":"https://github.com/citation-style-language/schema/raw/master/csl-citation.json"}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Dechow, 1994</w:t>
        </w:r>
      </w:hyperlink>
      <w:r w:rsidRPr="00067267">
        <w:rPr>
          <w:lang w:val="en-US"/>
        </w:rPr>
        <w:t>)</w:t>
      </w:r>
      <w:r w:rsidRPr="00067267">
        <w:rPr>
          <w:lang w:val="en-US"/>
        </w:rPr>
        <w:fldChar w:fldCharType="end"/>
      </w:r>
      <w:r w:rsidRPr="00067267">
        <w:rPr>
          <w:lang w:val="en-US"/>
        </w:rPr>
        <w:t xml:space="preserve">. </w:t>
      </w:r>
      <w:r w:rsidRPr="00067267">
        <w:rPr>
          <w:lang w:val="en-US"/>
        </w:rPr>
        <w:lastRenderedPageBreak/>
        <w:t xml:space="preserve">There are some studies to investigate whether Beneish M score is a robust tool to predict fraud. For example, a study from </w:t>
      </w:r>
      <w:hyperlink w:anchor="_References_1" w:history="1">
        <w:r w:rsidRPr="00067267">
          <w:rPr>
            <w:rStyle w:val="Hyperlink"/>
            <w:u w:val="none"/>
            <w:lang w:val="en-US"/>
          </w:rPr>
          <w:t>Kamal et al. (2016)</w:t>
        </w:r>
      </w:hyperlink>
      <w:r w:rsidRPr="00067267">
        <w:rPr>
          <w:lang w:val="en-US"/>
        </w:rPr>
        <w:t xml:space="preserve"> find that using Beneish M score in Malaysian context is proven to be 82% accurate to detect fraud.  Beneish model M-score takes into account several financial ratios so that it can provide more reliable and conclusive results than the previous model in detecting the manipulation of  financial statements </w:t>
      </w:r>
      <w:r w:rsidRPr="00067267">
        <w:rPr>
          <w:lang w:val="en-US"/>
        </w:rPr>
        <w:fldChar w:fldCharType="begin" w:fldLock="1"/>
      </w:r>
      <w:r w:rsidRPr="00067267">
        <w:rPr>
          <w:lang w:val="en-US"/>
        </w:rPr>
        <w:instrText>ADDIN CSL_CITATION {"citationItems":[{"id":"ITEM-1","itemData":{"DOI":"10.5923/j.ijfa.20170606.01","ISSN":"09218009","abstract":"The objective of this research is to determine whether Altman Z-score and Beneish M-model could detect financial fraud and corporate failure of Enron Corporation. Five-year financial information was collected from the US SEC Edgar database covering the period 1996 to 2000. The Beneish model revealed that the financial statements for the five years studied were manipulated by management. On the basis of the analysis, the researcher argued that stakeholders would be better protected when the two models are used simultaneously than when only the Altman Z-score is used. The paper recommended that Altman Z-score and Beneish M-Model should be used together as an integral part of every audit.","author":[{"dropping-particle":"","family":"MacCarthy","given":"John","non-dropping-particle":"","parse-names":false,"suffix":""}],"container-title":"International Journal of Finance and Accounting","id":"ITEM-1","issue":"6","issued":{"date-parts":[["2017"]]},"page":"159-166","title":"Using Altman Z-score and Beneish M-score models to detect financial fraud and corporate failure : A case study of Enron Corporation","type":"article-journal","volume":"6"},"uris":["http://www.mendeley.com/documents/?uuid=e2c737b8-45c2-45b6-96f2-22c8509c0bc1"]}],"mendeley":{"formattedCitation":"(MacCarthy, 2017)","plainTextFormattedCitation":"(MacCarthy, 2017)","previouslyFormattedCitation":"(MacCarthy, 2017)"},"properties":{"noteIndex":0},"schema":"https://github.com/citation-style-language/schema/raw/master/csl-citation.json"}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MacCarthy, 2017</w:t>
        </w:r>
      </w:hyperlink>
      <w:r w:rsidRPr="00067267">
        <w:rPr>
          <w:lang w:val="en-US"/>
        </w:rPr>
        <w:t>)</w:t>
      </w:r>
      <w:r w:rsidRPr="00067267">
        <w:rPr>
          <w:lang w:val="en-US"/>
        </w:rPr>
        <w:fldChar w:fldCharType="end"/>
      </w:r>
      <w:r w:rsidRPr="00067267">
        <w:rPr>
          <w:lang w:val="en-US"/>
        </w:rPr>
        <w:t xml:space="preserve">.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{"citationItems":[{"id":"ITEM-1","itemData":{"author":[{"dropping-particle":"","family":"Kashmiri","given":"","non-dropping-particle":"","parse-names":false,"suffix":""}],"id":"ITEM-1","issued":{"date-parts":[["2014"]]},"title":"Testing accruals based earnings management models in an international context","type":"report"},"uris":["http://www.mendeley.com/documents/?uuid=d93e0720-1a29-4e5e-bd5a-729abc109f21"]}],"mendeley":{"formattedCitation":"(Kashmiri, 2014)","manualFormatting":"Kashmiri, (2014)","plainTextFormattedCitation":"(Kashmiri, 2014)","previouslyFormattedCitation":"(Kashmiri, 2014)"},"properties":{"noteIndex":0},"schema":"https://github.com/citation-style-language/schema/raw/master/csl-citation.json"}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Kash</w:t>
        </w:r>
        <w:r w:rsidR="00C47FB4" w:rsidRPr="00067267">
          <w:rPr>
            <w:rStyle w:val="Hyperlink"/>
            <w:u w:val="none"/>
            <w:lang w:val="en-US"/>
          </w:rPr>
          <w:t>miri</w:t>
        </w:r>
        <w:r w:rsidRPr="00067267">
          <w:rPr>
            <w:rStyle w:val="Hyperlink"/>
            <w:u w:val="none"/>
            <w:lang w:val="en-US"/>
          </w:rPr>
          <w:t xml:space="preserve"> (2014)</w:t>
        </w:r>
        <w:r w:rsidRPr="00067267">
          <w:rPr>
            <w:rStyle w:val="Hyperlink"/>
            <w:u w:val="none"/>
            <w:lang w:val="en-US"/>
          </w:rPr>
          <w:fldChar w:fldCharType="end"/>
        </w:r>
      </w:hyperlink>
      <w:r w:rsidRPr="00067267">
        <w:rPr>
          <w:lang w:val="en-US"/>
        </w:rPr>
        <w:t xml:space="preserve"> using modified Jones detects GAAP violators while the modified jones model is criticized by researchers such as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{"citationItems":[{"id":"ITEM-1","itemData":{"DOI":"10.1108/jfc-02-2013-0011","ISSN":"1359-0790","abstract":"Purpose: The present article aims to test the fairness of reported numbers by the management and examine the magnitude of earnings management in Indian corporate enterprises by testing the Beneish proft model. This paper contributes by further verifying the results of the Beneish model by applying the concept of \"quality of earnings and revenue\" to the sample units. Quality of reported numbers by the management has always been a concern for a common shareholder on account of the underlying proposition of earnings management. There are numerous models available to test the quality of these numbers, i.e. presence of earnings management. Most of these models are accrual based which have been subject to significant criticism due to estimate-based approach. The Beneish proft model, which combines accruals and financial ratios and/or indexes, is one such alternative to the accruals approach. Design/methodology/approach: A \"case-based\" research approach has been followed here for analyzing Indian corporate enterprises on select basis. The Beneish proft model, developed specifically for testing earnings quality and detecting earnings management, has been used in the present study. The data analysis has been well supported by \"quality measurement tools\". Findings: An examination of the units shows the need for improvement in the quality of earnings in the sample units, and there is a presence of earnings management in them. Research limitations/implications: The present study could be confined to only top 12 proft-making corporate enterprises in the private sector in India, leaving all other enterprises due to data non-availability. Of 25 enterprises, there were public sector undertakings too which had to be excluded. Practical implications: The present study was confined to only 12 proft-making corporate enterprises in the private sector due to sampling requirements; the scope of the units can be extended to other units in diverse sectors with different size and scale of operations. It would further verify the present discussion and also provide future enlightenment on the issue of earnings management. Originality/value: It is an original article which explores creative accounting practices for better shareholders' interest.","author":[{"dropping-particle":"","family":"Goel","given":"Sandeep","non-dropping-particle":"","parse-names":false,"suffix":""}],"container-title":"Journal of Financial Crime","id":"ITEM-1","issue":"3","issued":{"date-parts":[["2014"]]},"page":"355-376","title":"The quality of reported numbers by the management","type":"article-journal","volume":"21"},"uris":["http://www.mendeley.com/documents/?uuid=63deab54-14d4-4694-958c-dfc31f0bb989"]}],"mendeley":{"formattedCitation":"(Goel, 2014)","manualFormatting":"Goel,(2014)","plainTextFormattedCitation":"(Goel, 2014)","previouslyFormattedCitation":"(Goel, 2014)"},"properties":{"noteIndex":0},"schema":"https://github.com/citation-style-language/schema/raw/master/csl-citation.json"}</w:instrText>
        </w:r>
        <w:r w:rsidRPr="00067267">
          <w:rPr>
            <w:rStyle w:val="Hyperlink"/>
            <w:u w:val="none"/>
            <w:lang w:val="en-US"/>
          </w:rPr>
          <w:fldChar w:fldCharType="separate"/>
        </w:r>
        <w:r w:rsidR="0063205A" w:rsidRPr="00067267">
          <w:rPr>
            <w:rStyle w:val="Hyperlink"/>
            <w:u w:val="none"/>
            <w:lang w:val="en-US"/>
          </w:rPr>
          <w:t xml:space="preserve">Goel </w:t>
        </w:r>
        <w:r w:rsidRPr="00067267">
          <w:rPr>
            <w:rStyle w:val="Hyperlink"/>
            <w:u w:val="none"/>
            <w:lang w:val="en-US"/>
          </w:rPr>
          <w:t>(2014)</w:t>
        </w:r>
        <w:r w:rsidRPr="00067267">
          <w:rPr>
            <w:rStyle w:val="Hyperlink"/>
            <w:u w:val="none"/>
            <w:lang w:val="en-US"/>
          </w:rPr>
          <w:fldChar w:fldCharType="end"/>
        </w:r>
      </w:hyperlink>
      <w:r w:rsidRPr="00067267">
        <w:rPr>
          <w:lang w:val="en-US"/>
        </w:rPr>
        <w:t xml:space="preserve"> because modified Jones more bent the emphasis on earnings management compared to the element of fraud while </w:t>
      </w:r>
      <w:hyperlink w:anchor="_References_1" w:history="1">
        <w:r w:rsidR="00C47FB4" w:rsidRPr="00067267">
          <w:rPr>
            <w:rStyle w:val="Hyperlink"/>
            <w:u w:val="none"/>
            <w:lang w:val="en-US"/>
          </w:rPr>
          <w:fldChar w:fldCharType="begin" w:fldLock="1"/>
        </w:r>
        <w:r w:rsidR="00C47FB4" w:rsidRPr="00067267">
          <w:rPr>
            <w:rStyle w:val="Hyperlink"/>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Journal","id":"ITEM-1","issued":{"date-parts":[["2009"]]},"title":"Fraud score analysis in emerging markets","type":"article-journal"},"uris":["http://www.mendeley.com/documents/?uuid=71c3d2dd-2e57-4e1c-8061-9f9787489b60"]}],"mendeley":{"formattedCitation":"(Skousen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00C47FB4" w:rsidRPr="00067267">
          <w:rPr>
            <w:rStyle w:val="Hyperlink"/>
            <w:u w:val="none"/>
            <w:lang w:val="en-US"/>
          </w:rPr>
          <w:fldChar w:fldCharType="separate"/>
        </w:r>
        <w:r w:rsidR="00C47FB4" w:rsidRPr="00067267">
          <w:rPr>
            <w:rStyle w:val="Hyperlink"/>
            <w:u w:val="none"/>
            <w:lang w:val="en-US"/>
          </w:rPr>
          <w:t>Skousen &amp; Twedt (2009)</w:t>
        </w:r>
        <w:r w:rsidR="00C47FB4" w:rsidRPr="00067267">
          <w:rPr>
            <w:rStyle w:val="Hyperlink"/>
            <w:u w:val="none"/>
            <w:lang w:val="en-US"/>
          </w:rPr>
          <w:fldChar w:fldCharType="end"/>
        </w:r>
      </w:hyperlink>
      <w:r w:rsidRPr="00067267">
        <w:rPr>
          <w:lang w:val="en-US"/>
        </w:rPr>
        <w:t xml:space="preserve"> serves as a benchmark for subsequent studies to test the effectiveness of the Fraud Triangle by </w:t>
      </w:r>
      <w:hyperlink w:anchor="_References_1" w:history="1">
        <w:r w:rsidRPr="00067267">
          <w:rPr>
            <w:rStyle w:val="Hyperlink"/>
            <w:u w:val="none"/>
            <w:lang w:val="en-US"/>
          </w:rPr>
          <w:t>Cressey (1953)</w:t>
        </w:r>
      </w:hyperlink>
      <w:r w:rsidRPr="00067267">
        <w:rPr>
          <w:lang w:val="en-US"/>
        </w:rPr>
        <w:t xml:space="preserve"> with 5 pressure variables that can significantly detect fraud. </w:t>
      </w:r>
    </w:p>
    <w:p w:rsidR="00866B0F" w:rsidRPr="00067267" w:rsidRDefault="00866B0F" w:rsidP="00866B0F">
      <w:pPr>
        <w:spacing w:after="0" w:line="240" w:lineRule="auto"/>
        <w:ind w:firstLine="720"/>
        <w:jc w:val="both"/>
        <w:rPr>
          <w:lang w:val="en-US"/>
        </w:rPr>
      </w:pPr>
      <w:r w:rsidRPr="00067267">
        <w:rPr>
          <w:lang w:val="en-US"/>
        </w:rPr>
        <w:t xml:space="preserve">The main reference of this study refers to the International Standard on Auditing 240 (ISA 240), namely the Fraud Triangle theory by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{"citationItems":[{"id":"ITEM-1","itemData":{"author":[{"dropping-particle":"","family":"Cressey D.R","given":"","non-dropping-particle":"","parse-names":false,"suffix":""}],"id":"ITEM-1","issued":{"date-parts":[["1953"]]},"publisher":"The Free Press","title":"Other People's money : a study in the psychology of embezzlement illinois","type":"book"},"uris":["http://www.mendeley.com/documents/?uuid=47e2b349-8642-440c-b83f-25746a58f578"]}],"mendeley":{"formattedCitation":"(Cressey D.R, 1953)","manualFormatting":"Cressey (1953)","plainTextFormattedCitation":"(Cressey D.R, 1953)","previouslyFormattedCitation":"(Cressey D.R, 1953)"},"properties":{"noteIndex":0},"schema":"https://github.com/citation-style-language/schema/raw/master/csl-citation.json"}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Cressey (1953)</w:t>
        </w:r>
        <w:r w:rsidRPr="00067267">
          <w:rPr>
            <w:rStyle w:val="Hyperlink"/>
            <w:u w:val="none"/>
            <w:lang w:val="en-US"/>
          </w:rPr>
          <w:fldChar w:fldCharType="end"/>
        </w:r>
      </w:hyperlink>
      <w:r w:rsidRPr="00067267">
        <w:rPr>
          <w:lang w:val="en-US"/>
        </w:rPr>
        <w:t xml:space="preserve"> with using element pressure, opportunity and rationalization. Man</w:t>
      </w:r>
      <w:r w:rsidR="0063205A" w:rsidRPr="00067267">
        <w:rPr>
          <w:lang w:val="en-US"/>
        </w:rPr>
        <w:t xml:space="preserve">y other research such as </w:t>
      </w:r>
      <w:hyperlink w:anchor="_References_1" w:history="1">
        <w:r w:rsidR="0063205A" w:rsidRPr="00067267">
          <w:rPr>
            <w:rStyle w:val="Hyperlink"/>
            <w:u w:val="none"/>
            <w:lang w:val="en-US"/>
          </w:rPr>
          <w:t>Hernandez and G</w:t>
        </w:r>
        <w:r w:rsidRPr="00067267">
          <w:rPr>
            <w:rStyle w:val="Hyperlink"/>
            <w:u w:val="none"/>
            <w:lang w:val="en-US"/>
          </w:rPr>
          <w:t>root (2007)</w:t>
        </w:r>
      </w:hyperlink>
      <w:r w:rsidRPr="00067267">
        <w:rPr>
          <w:lang w:val="en-US"/>
        </w:rPr>
        <w:t xml:space="preserve"> find that pressure an</w:t>
      </w:r>
      <w:r w:rsidR="0063205A" w:rsidRPr="00067267">
        <w:rPr>
          <w:lang w:val="en-US"/>
        </w:rPr>
        <w:t xml:space="preserve">d opportunities for generating </w:t>
      </w:r>
      <w:r w:rsidRPr="00067267">
        <w:rPr>
          <w:lang w:val="en-US"/>
        </w:rPr>
        <w:t xml:space="preserve">a fraudulent behavior are in fact associated with the higher fraud risk assessment  by various audit partners and the most important factors are senior management ethical attitudes and dishonest. </w:t>
      </w:r>
      <w:hyperlink w:anchor="_References_1" w:history="1">
        <w:r w:rsidRPr="00067267">
          <w:rPr>
            <w:rStyle w:val="Hyperlink"/>
            <w:u w:val="none"/>
            <w:lang w:val="en-US"/>
          </w:rPr>
          <w:t>Rez</w:t>
        </w:r>
        <w:r w:rsidR="00B7180B" w:rsidRPr="00067267">
          <w:rPr>
            <w:rStyle w:val="Hyperlink"/>
            <w:u w:val="none"/>
            <w:lang w:val="en-US"/>
          </w:rPr>
          <w:t>aee (2005</w:t>
        </w:r>
        <w:r w:rsidRPr="00067267">
          <w:rPr>
            <w:rStyle w:val="Hyperlink"/>
            <w:u w:val="none"/>
            <w:lang w:val="en-US"/>
          </w:rPr>
          <w:t>)</w:t>
        </w:r>
      </w:hyperlink>
      <w:r w:rsidRPr="00067267">
        <w:rPr>
          <w:lang w:val="en-US"/>
        </w:rPr>
        <w:t xml:space="preserve"> in his result justifies the existence of three element fraud triangle conditions in the fraud firms.</w:t>
      </w:r>
    </w:p>
    <w:p w:rsidR="00866B0F" w:rsidRPr="00067267" w:rsidRDefault="00866B0F" w:rsidP="00866B0F">
      <w:pPr>
        <w:spacing w:after="0" w:line="240" w:lineRule="auto"/>
        <w:ind w:firstLine="720"/>
        <w:jc w:val="both"/>
        <w:rPr>
          <w:lang w:val="en-US"/>
        </w:rPr>
      </w:pPr>
      <w:r w:rsidRPr="00067267">
        <w:rPr>
          <w:lang w:val="en-US"/>
        </w:rPr>
        <w:t xml:space="preserve"> In the next section, to observe the pressure perspective in fraud triangle will be used namely financial stability, external pressure and financial targets.</w:t>
      </w:r>
    </w:p>
    <w:p w:rsidR="00866B0F" w:rsidRPr="00067267" w:rsidRDefault="00866B0F" w:rsidP="00866B0F">
      <w:pPr>
        <w:spacing w:after="0" w:line="240" w:lineRule="auto"/>
        <w:ind w:firstLine="720"/>
        <w:jc w:val="both"/>
        <w:rPr>
          <w:lang w:val="en-US"/>
        </w:rPr>
      </w:pPr>
      <w:r w:rsidRPr="00067267">
        <w:rPr>
          <w:lang w:val="en-US"/>
        </w:rPr>
        <w:t>Financial stability get direct rapid changes in economic condition. According to SA 240 financial stability can be threatened by circumstances or industries that are indicated by high industry vulnerability due to rapid changes due to technological factors, product obsolescence or interest rates as in industry 4.0. In SA 240 states that management faces severe pressure due to these conditions and triggers them to commit fraud in the financial statements. Research from</w:t>
      </w:r>
      <w:r w:rsidRPr="00067267">
        <w:rPr>
          <w:lang w:val="en-US"/>
        </w:rPr>
        <w:fldChar w:fldCharType="begin" w:fldLock="1"/>
      </w:r>
      <w:r w:rsidRPr="00067267">
        <w:rPr>
          <w:lang w:val="en-US"/>
        </w:rPr>
        <w:instrText>ADDIN CSL_CITATION {"citationItems":[{"id":"ITEM-1","itemData":{"author":[{"dropping-particle":"","family":"Zahro","given":"","non-dropping-particle":"","parse-names":false,"suffix":""},{"dropping-particle":"","family":"Yulia","given":"","non-dropping-particle":"","parse-names":false,"suffix":""}],"container-title":"Riset akuntansi","id":"ITEM-1","issue":"9","issued":{"date-parts":[["2018"]]},"page":"51-64","title":"Deteksi financial statement fraud dengan analisis fraud triangle pada perusahaan manufaktur","type":"article-journal","volume":"7"},"uris":["http://www.mendeley.com/documents/?uuid=a2421c6e-8e6e-4ad7-a806-947509a1302a"]}],"mendeley":{"formattedCitation":"(Zahro &amp; Yulia, 2018)","manualFormatting":" Zahro &amp; Yulia, (2018)","plainTextFormattedCitation":"(Zahro &amp; Yulia, 2018)","previouslyFormattedCitation":"(Zahro &amp; Yulia, 2018)"},"properties":{"noteIndex":0},"schema":"https://github.com/citation-style-language/schema/raw/master/csl-citation.json"}</w:instrText>
      </w:r>
      <w:r w:rsidRPr="00067267">
        <w:rPr>
          <w:lang w:val="en-US"/>
        </w:rPr>
        <w:fldChar w:fldCharType="separate"/>
      </w:r>
      <w:r w:rsidRPr="00067267">
        <w:rPr>
          <w:lang w:val="en-US"/>
        </w:rPr>
        <w:t xml:space="preserve"> </w:t>
      </w:r>
      <w:hyperlink w:anchor="_References_1" w:history="1">
        <w:r w:rsidR="00C47FB4" w:rsidRPr="00067267">
          <w:rPr>
            <w:rStyle w:val="Hyperlink"/>
            <w:u w:val="none"/>
            <w:lang w:val="en-US"/>
          </w:rPr>
          <w:t>Zahro &amp; Yulia</w:t>
        </w:r>
        <w:r w:rsidRPr="00067267">
          <w:rPr>
            <w:rStyle w:val="Hyperlink"/>
            <w:u w:val="none"/>
            <w:lang w:val="en-US"/>
          </w:rPr>
          <w:t xml:space="preserve"> (2018)</w:t>
        </w:r>
      </w:hyperlink>
      <w:r w:rsidRPr="00067267">
        <w:rPr>
          <w:lang w:val="en-US"/>
        </w:rPr>
        <w:fldChar w:fldCharType="end"/>
      </w:r>
      <w:r w:rsidRPr="00067267">
        <w:rPr>
          <w:lang w:val="en-US"/>
        </w:rPr>
        <w:t xml:space="preserve"> and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{"citationItems":[{"id":"ITEM-1","itemData":{"DOI":"10.20885/jaai.vol19.iss2.art3","ISSN":"14102420","abstract":"The purpose of this study is to test the effect of fraud triangle in explaining the phenomenon of financial statement frauds. To achieve these objectives, this research examines the factors that influence financial statement frauds consists of 7 (seven) independent variables are adopted from research (Skousen, Smith, and Wright 2009). Four variables of pressure elements (financial stability, personal financial need, external pressure and financial targets), the two variables of opportunity elements (nature of the industry and effective monitoring) and one variable of the elements of rationalization. Based on logistic regression analysis of the 36 companies that commit fraud and 54 companies that did not commit fraud during 2011 to 2013 concluded that there is a positive influence between financial stability (ACHANGE) and external pressure (LEV) against financial statement frauds, while the effective monitoring (IND) has negative effect on the financial statement frauds. These results give support to the fraud triangle theory in explaining the phenomenon of financial statement frauds.","author":[{"dropping-particle":"","family":"Tiffani","given":"Laila","non-dropping-particle":"","parse-names":false,"suffix":""},{"dropping-particle":"","family":"Marfuah","given":"Marfuah","non-dropping-particle":"","parse-names":false,"suffix":""}],"container-title":"Jurnal Akuntansi &amp; Auditing Indonesia","id":"ITEM-1","issue":"2","issued":{"date-parts":[["2015"]]},"page":"112-115","title":"Deteksi financial statement fraud dengan analisis fraud triangle pada perusahaan manufaktur yang terdaftar di bursa efek Indonesia","type":"article-journal","volume":"19"},"uris":["http://www.mendeley.com/documents/?uuid=e13cb176-ac9a-4b60-bd6a-a69902674266"]}],"mendeley":{"formattedCitation":"(Tiffani &amp; Marfuah, 2015)","manualFormatting":"Tiffani &amp; Marfuah, (2015)","plainTextFormattedCitation":"(Tiffani &amp; Marfuah, 2015)"},"properties":{"noteIndex":0},"schema":"https://github.com/citation-style-language/schema/raw/master/csl-citation.json"}</w:instrText>
        </w:r>
        <w:r w:rsidRPr="00067267">
          <w:rPr>
            <w:rStyle w:val="Hyperlink"/>
            <w:u w:val="none"/>
            <w:lang w:val="en-US"/>
          </w:rPr>
          <w:fldChar w:fldCharType="separate"/>
        </w:r>
        <w:r w:rsidR="00C47FB4" w:rsidRPr="00067267">
          <w:rPr>
            <w:rStyle w:val="Hyperlink"/>
            <w:u w:val="none"/>
            <w:lang w:val="en-US"/>
          </w:rPr>
          <w:t>Tiffani &amp; Marfuah</w:t>
        </w:r>
        <w:r w:rsidRPr="00067267">
          <w:rPr>
            <w:rStyle w:val="Hyperlink"/>
            <w:u w:val="none"/>
            <w:lang w:val="en-US"/>
          </w:rPr>
          <w:t xml:space="preserve"> (2015)</w:t>
        </w:r>
        <w:r w:rsidRPr="00067267">
          <w:rPr>
            <w:rStyle w:val="Hyperlink"/>
            <w:u w:val="none"/>
            <w:lang w:val="en-US"/>
          </w:rPr>
          <w:fldChar w:fldCharType="end"/>
        </w:r>
      </w:hyperlink>
      <w:r w:rsidRPr="00067267">
        <w:rPr>
          <w:lang w:val="en-US"/>
        </w:rPr>
        <w:t xml:space="preserve"> shows that there is a positive influence of financial stability which is proxied by the growth of assets on financial statements and this result is in line with research from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Journal","id":"ITEM-1","issued":{"date-parts":[["2009"]]},"title":"Fraud score analysis in emerging markets","type":"article-journal"},"uris":["http://www.mendeley.com/documents/?uuid=71c3d2dd-2e57-4e1c-8061-9f9787489b60"]}],"mendeley":{"formattedCitation":"(Skousen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Skousen</w:t>
        </w:r>
        <w:r w:rsidR="00C47FB4" w:rsidRPr="00067267">
          <w:rPr>
            <w:rStyle w:val="Hyperlink"/>
            <w:u w:val="none"/>
            <w:lang w:val="en-US"/>
          </w:rPr>
          <w:t xml:space="preserve"> &amp; Twedt</w:t>
        </w:r>
        <w:r w:rsidRPr="00067267">
          <w:rPr>
            <w:rStyle w:val="Hyperlink"/>
            <w:u w:val="none"/>
            <w:lang w:val="en-US"/>
          </w:rPr>
          <w:t xml:space="preserve"> (2009)</w:t>
        </w:r>
        <w:r w:rsidRPr="00067267">
          <w:rPr>
            <w:rStyle w:val="Hyperlink"/>
            <w:u w:val="none"/>
            <w:lang w:val="en-US"/>
          </w:rPr>
          <w:fldChar w:fldCharType="end"/>
        </w:r>
      </w:hyperlink>
      <w:r w:rsidRPr="00067267">
        <w:rPr>
          <w:lang w:val="en-US"/>
        </w:rPr>
        <w:t xml:space="preserve">. In contrast,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Zahro","given":"","non-dropping-particle":"","parse-names":false,"suffix":""},{"dropping-particle":"","family":"Yulia","given":"","non-dropping-particle":"","parse-names":false,"suffix":""}],"container-title":"Riset akuntansi","id":"ITEM-1","issue":"9","issued":{"date-parts":[["2018"]]},"page":"51-64","title":"Deteksi financial statement fraud dengan analisis fraud triangle pada perusahaan manufaktur","type":"article-journal","volume":"7"},"uris":["http://www.mendeley.com/documents/?uuid=a2421c6e-8e6e-4ad7-a806-947509a1302a"]}],"mendeley":{"formattedCitation":"(Zahro &amp; Yulia, 2018)","manualFormatting":"Zahro &amp; Yulia, (2018)","plainTextFormattedCitation":"(Zahro &amp; Yulia, 2018)","previouslyFormattedCitation":"(Zahro &amp; Yulia, 2018)"},"properties":{"noteIndex":0},"schema":"https://github.com/citation-style-language/schema/raw/master/csl-citation.json"}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Zahro &amp; Yulia, (2018)</w:t>
        </w:r>
        <w:r w:rsidRPr="00067267">
          <w:rPr>
            <w:rStyle w:val="Hyperlink"/>
            <w:u w:val="none"/>
            <w:lang w:val="en-US"/>
          </w:rPr>
          <w:fldChar w:fldCharType="end"/>
        </w:r>
      </w:hyperlink>
      <w:r w:rsidRPr="00067267">
        <w:rPr>
          <w:lang w:val="en-US"/>
        </w:rPr>
        <w:t xml:space="preserve"> stated that there was no influence between financial stability proxied by asset growth and fraudulent on financial reporting.  Based on this explanation, the hypothesis is formulated as follows:</w:t>
      </w:r>
    </w:p>
    <w:p w:rsidR="00866B0F" w:rsidRPr="00067267" w:rsidRDefault="00866B0F" w:rsidP="00866B0F">
      <w:pPr>
        <w:spacing w:after="0" w:line="240" w:lineRule="auto"/>
        <w:jc w:val="both"/>
        <w:rPr>
          <w:lang w:val="en-US"/>
        </w:rPr>
      </w:pPr>
      <w:r w:rsidRPr="00067267">
        <w:rPr>
          <w:lang w:val="en-US"/>
        </w:rPr>
        <w:t>H</w:t>
      </w:r>
      <w:r w:rsidRPr="00067267">
        <w:rPr>
          <w:vertAlign w:val="subscript"/>
          <w:lang w:val="en-US"/>
        </w:rPr>
        <w:t>1</w:t>
      </w:r>
      <w:r w:rsidRPr="00067267">
        <w:rPr>
          <w:lang w:val="en-US"/>
        </w:rPr>
        <w:t>: Financial stability has a negative significant on fraudulent on financial reporting</w:t>
      </w:r>
      <w:r w:rsidRPr="00067267">
        <w:rPr>
          <w:lang w:val="en-US"/>
        </w:rPr>
        <w:br/>
        <w:t xml:space="preserve">        External pressure is caused by excessive pressure for management to meet the requirements or expectations of third parties such as creditors, institutional shareholders or investment analysts on the company's performance. This pressure can also come because of public pressure that can make management through excessive optimism in the annual report statement. In the industrial era 4.0, companies have the desire to be able to use new technologies that are more productive so that they can save resources and produce innovative products</w:t>
      </w:r>
      <w:r w:rsidRPr="00067267">
        <w:rPr>
          <w:b/>
          <w:lang w:val="en-US"/>
        </w:rPr>
        <w:t xml:space="preserve"> (</w:t>
      </w:r>
      <w:r w:rsidRPr="00067267">
        <w:rPr>
          <w:lang w:val="en-US"/>
        </w:rPr>
        <w:fldChar w:fldCharType="begin" w:fldLock="1"/>
      </w:r>
      <w:r w:rsidRPr="00067267">
        <w:rPr>
          <w:lang w:val="en-US"/>
        </w:rPr>
        <w:instrText>ADDIN CSL_CITATION {"citationItems":[{"id":"ITEM-1","itemData":{"author":[{"dropping-particle":"","family":"Oktarigusta","given":"","non-dropping-particle":"","parse-names":false,"suffix":""},{"dropping-particle":"","family":"Lutfiana","given":"","non-dropping-particle":"","parse-names":false,"suffix":""}],"container-title":"Ekonomi Manajemen Sumber Daya","id":"ITEM-1","issue":"2","issued":{"date-parts":[["2017"]]},"page":"92-108","title":"Analisis fraud diamond untukmendeteksi terjadinya financial statement fraud di perusahaan (studi empiris pada perusahaan manufaktur yang terdaftar di BEI tahun 2012-2015)","type":"article-journal","volume":"19"},"uris":["http://www.mendeley.com/documents/?uuid=0cd07c63-3c73-4679-aa4a-cd7aa3760e2c"]}],"mendeley":{"formattedCitation":"(Oktarigusta &amp; Lutfiana, 2017)","manualFormatting":"Oktarigusta &amp; Lutfiana, 2017)","plainTextFormattedCitation":"(Oktarigusta &amp; Lutfiana, 2017)","previouslyFormattedCitation":"(Oktarigusta &amp; Lutfiana, 2017)"},"properties":{"noteIndex":0},"schema":"https://github.com/citation-style-language/schema/raw/master/csl-citation.json"}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Oktarigusta &amp; Lutfiana, 2017</w:t>
        </w:r>
      </w:hyperlink>
      <w:r w:rsidRPr="00067267">
        <w:rPr>
          <w:lang w:val="en-US"/>
        </w:rPr>
        <w:t>)</w:t>
      </w:r>
      <w:r w:rsidRPr="00067267">
        <w:rPr>
          <w:lang w:val="en-US"/>
        </w:rPr>
        <w:fldChar w:fldCharType="end"/>
      </w:r>
      <w:r w:rsidRPr="00067267">
        <w:rPr>
          <w:lang w:val="en-US"/>
        </w:rPr>
        <w:t xml:space="preserve">.  Leverage can be used as a proxy for external pressure because it shows how much the company's assets are funded by creditors which if the value is greater indicates the pressure is getting bigger too. </w:t>
      </w:r>
      <w:r w:rsidRPr="00067267">
        <w:rPr>
          <w:lang w:val="en-US"/>
        </w:rPr>
        <w:fldChar w:fldCharType="begin" w:fldLock="1"/>
      </w:r>
      <w:r w:rsidRPr="00067267">
        <w:rPr>
          <w:lang w:val="en-US"/>
        </w:rPr>
        <w:instrText>ADDIN CSL_CITATION {"citationItems":[{"id":"ITEM-1","itemData":{"DOI":"10.2308/iace-50131","ISSN":"07393172","abstract":"This paper revisits the Fraud Triangle, highlighting recent findings and contemporary thinking in the anti-fraud community to develop a meta-model of fraud for use in accounting instruction and research. The importance of the Fraud Triangle is particularly important as a model for assessing the risk of fraud, but it is only one component of an overall audit risk assessment plan. Explicit reference to the auditor's responsibility in identifying the risks of material misstatement arising from fraud is included in the guidance provided by both the AICPA and PCAOB (2010). Identifying fraud risk is a significant element of assurance services, and necessitates a model reflecting the current thinking surrounding the fraud event. To enhance our understanding of the fraudster's motivations and improve the anti-fraud community's ability to prevent, deter, detect, investigate, and remediate fraud, researchers and practitioners have offered insights beyond the Fraud Triangle. These insights are summarized in this manuscript and presented in a meta-model, providing a foundational resource for educators and researchers pursuing the study of fraud. Key aspects of the meta-model include instructional benefits in the classroom and an empirical approach from a research standpoint.","author":[{"dropping-particle":"","family":"Dorminey","given":"Jack","non-dropping-particle":"","parse-names":false,"suffix":""},{"dropping-particle":"","family":"Scott Fleming","given":"A.","non-dropping-particle":"","parse-names":false,"suffix":""},{"dropping-particle":"","family":"Kranacher","given":"Mary Jo","non-dropping-particle":"","parse-names":false,"suffix":""},{"dropping-particle":"","family":"Riley","given":"Richard A.","non-dropping-particle":"","parse-names":false,"suffix":""}],"container-title":"Issues in Accounting Education","id":"ITEM-1","issue":"2","issued":{"date-parts":[["2012"]]},"page":"555-579","title":"The evolution of fraud theory","type":"article-journal","volume":"27"},"uris":["http://www.mendeley.com/documents/?uuid=b8363d4a-a698-4aa7-b726-2e8d45c5bcb6"]}],"mendeley":{"formattedCitation":"(Dorminey, Scott Fleming, Kranacher, &amp; Riley, 2012)","manualFormatting":"(Dorminey et al, 2012)","plainTextFormattedCitation":"(Dorminey, Scott Fleming, Kranacher, &amp; Riley, 2012)","previouslyFormattedCitation":"(Dorminey, Scott Fleming, Kranacher, &amp; Riley, 2012)"},"properties":{"noteIndex":0},"schema":"https://github.com/citation-style-language/schema/raw/master/csl-citation.json"}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Dorminey et al, 2012</w:t>
        </w:r>
      </w:hyperlink>
      <w:r w:rsidRPr="00067267">
        <w:rPr>
          <w:lang w:val="en-US"/>
        </w:rPr>
        <w:t>)</w:t>
      </w:r>
      <w:r w:rsidRPr="00067267">
        <w:rPr>
          <w:lang w:val="en-US"/>
        </w:rPr>
        <w:fldChar w:fldCharType="end"/>
      </w:r>
      <w:r w:rsidRPr="00067267">
        <w:rPr>
          <w:lang w:val="en-US"/>
        </w:rPr>
        <w:t xml:space="preserve"> that pressure such as divorce, illness or difficulties children or various private problems can provoke high pressure situation which may lead people to feel that they need to take money in an authorized way to meet their expectations. Consistent with previous findings </w:t>
      </w:r>
      <w:r w:rsidRPr="00067267">
        <w:rPr>
          <w:lang w:val="en-US"/>
        </w:rPr>
        <w:fldChar w:fldCharType="begin" w:fldLock="1"/>
      </w:r>
      <w:r w:rsidRPr="00067267">
        <w:rPr>
          <w:lang w:val="en-US"/>
        </w:rPr>
        <w:instrText>ADDIN CSL_CITATION {"citationItems":[{"id":"ITEM-1","itemData":{"DOI":"10.1111/j.1540-6288.2007.00161.x","ISSN":"15406288","abstract":"We examine the governance characteristics, earnings quality, growth rates, dividend policy, and compensation structure of 97 firms recently under investigation by the Securities and Exchange Commission (SEC) for accounting fraud. Our results show that the corporate environment most likely to lead to an accounting scandal manifests significant growth and accounting practices that are already pushing the envelope of earnings smoothing. Firms operating in this environment seem more likely to tip over the edge into fraud if there are fewer outsiders on the audit committee and outside directors appear overcommitted. © 2007 Blackwell Publishing Ltd.","author":[{"dropping-particle":"","family":"Crutchley","given":"Claire E.","non-dropping-particle":"","parse-names":false,"suffix":""},{"dropping-particle":"","family":"Jensen","given":"Marlin R.H.","non-dropping-particle":"","parse-names":false,"suffix":""},{"dropping-particle":"","family":"Marshall","given":"Beverly B.","non-dropping-particle":"","parse-names":false,"suffix":""}],"container-title":"Financial Review","id":"ITEM-1","issue":"1","issued":{"date-parts":[["2007"]]},"page":"53-73","title":"Climate for scandal: Corporate environments that contribute to accounting fraud","type":"article-journal","volume":"42"},"uris":["http://www.mendeley.com/documents/?uuid=28aecc15-957d-46f9-8cf3-47841b6300e6"]}],"mendeley":{"formattedCitation":"(Crutchley, Jensen, &amp; Marshall, 2007)","manualFormatting":"(Crutchley et al,  2007)","plainTextFormattedCitation":"(Crutchley, Jensen, &amp; Marshall, 2007)","previouslyFormattedCitation":"(Crutchley, Jensen, &amp; Marshall, 2007)"},"properties":{"noteIndex":0},"schema":"https://github.com/citation-style-language/schema/raw/master/csl-citation.json"}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Crutchley et al,  2007</w:t>
        </w:r>
      </w:hyperlink>
      <w:r w:rsidRPr="00067267">
        <w:rPr>
          <w:lang w:val="en-US"/>
        </w:rPr>
        <w:t>)</w:t>
      </w:r>
      <w:r w:rsidRPr="00067267">
        <w:rPr>
          <w:lang w:val="en-US"/>
        </w:rPr>
        <w:fldChar w:fldCharType="end"/>
      </w:r>
      <w:r w:rsidRPr="00067267">
        <w:rPr>
          <w:lang w:val="en-US"/>
        </w:rPr>
        <w:t xml:space="preserve"> found  that a positive correlation </w:t>
      </w:r>
      <w:r w:rsidRPr="00067267">
        <w:rPr>
          <w:lang w:val="en-US"/>
        </w:rPr>
        <w:lastRenderedPageBreak/>
        <w:t xml:space="preserve">between pressure and fraudulent financial statement.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{"citationItems":[{"id":"ITEM-1","itemData":{"DOI":"10.1016/j.accfor.2014.12.001","ISSN":"14676303","abstract":"We suggest that when using the fraud triangle, academics and professionals should take account of the insights gleaned from our study, in which Switzerland and Austria's \"elite\" white-collar offenders with high professional standing and respectability were interviewed. Our perpetrators consider that only opportunity is a universal precondition of acts defined by others as fraud, though perceived pressure is salient to most frauds. By contrast, financial incentives are not required to be motivational elements. The frequently cited \"rationalisation\" is too simplistic: rather, a fraud-inhibiting inner voice before the crime and a guilty conscience after it were present among those interviewed.","author":[{"dropping-particle":"","family":"Schuchter","given":"Alexander","non-dropping-particle":"","parse-names":false,"suffix":""},{"dropping-particle":"","family":"Levi","given":"Michael","non-dropping-particle":"","parse-names":false,"suffix":""}],"container-title":"Accounting Forum Science direct Elsevier","id":"ITEM-1","issued":{"date-parts":[["2015"]]},"page":"176-187","title":"Beyond the fraud triangle: Swiss and Austrian elite fraudsters","type":"article-journal","volume":"39"},"uris":["http://www.mendeley.com/documents/?uuid=7a575083-0e16-4c38-84fd-9ef693e8d5bc"]}],"mendeley":{"formattedCitation":"(Schuchter &amp; Levi, 2015)","manualFormatting":"Schuchter &amp; Levi, (2015)","plainTextFormattedCitation":"(Schuchter &amp; Levi, 2015)","previouslyFormattedCitation":"(Schuchter &amp; Levi, 2015)"},"properties":{"noteIndex":0},"schema":"https://github.com/citation-style-language/schema/raw/master/csl-citation.json"}</w:instrText>
        </w:r>
        <w:r w:rsidRPr="00067267">
          <w:rPr>
            <w:rStyle w:val="Hyperlink"/>
            <w:u w:val="none"/>
            <w:lang w:val="en-US"/>
          </w:rPr>
          <w:fldChar w:fldCharType="separate"/>
        </w:r>
        <w:r w:rsidR="00C47FB4" w:rsidRPr="00067267">
          <w:rPr>
            <w:rStyle w:val="Hyperlink"/>
            <w:u w:val="none"/>
            <w:lang w:val="en-US"/>
          </w:rPr>
          <w:t>Schuchter &amp; Levi</w:t>
        </w:r>
        <w:r w:rsidRPr="00067267">
          <w:rPr>
            <w:rStyle w:val="Hyperlink"/>
            <w:u w:val="none"/>
            <w:lang w:val="en-US"/>
          </w:rPr>
          <w:t xml:space="preserve"> (2015)</w:t>
        </w:r>
        <w:r w:rsidRPr="00067267">
          <w:rPr>
            <w:rStyle w:val="Hyperlink"/>
            <w:u w:val="none"/>
            <w:lang w:val="en-US"/>
          </w:rPr>
          <w:fldChar w:fldCharType="end"/>
        </w:r>
      </w:hyperlink>
      <w:r w:rsidRPr="00067267">
        <w:rPr>
          <w:lang w:val="en-US"/>
        </w:rPr>
        <w:t xml:space="preserve"> results also conclude that the perceived pressure is salient to most white-collar criminal offences. Based on this review above, the hypothesis is formulated as follows: </w:t>
      </w:r>
    </w:p>
    <w:p w:rsidR="00866B0F" w:rsidRPr="00067267" w:rsidRDefault="00866B0F" w:rsidP="00866B0F">
      <w:pPr>
        <w:spacing w:after="0" w:line="240" w:lineRule="auto"/>
        <w:jc w:val="both"/>
        <w:rPr>
          <w:lang w:val="en-US"/>
        </w:rPr>
      </w:pPr>
      <w:r w:rsidRPr="00067267">
        <w:rPr>
          <w:lang w:val="en-US"/>
        </w:rPr>
        <w:t>H</w:t>
      </w:r>
      <w:r w:rsidRPr="00067267">
        <w:rPr>
          <w:vertAlign w:val="subscript"/>
          <w:lang w:val="en-US"/>
        </w:rPr>
        <w:t>2</w:t>
      </w:r>
      <w:r w:rsidRPr="00067267">
        <w:rPr>
          <w:lang w:val="en-US"/>
        </w:rPr>
        <w:t>: External pressure has a positive significant on fraudulent on financial reporting</w:t>
      </w:r>
    </w:p>
    <w:p w:rsidR="00866B0F" w:rsidRPr="00067267" w:rsidRDefault="00866B0F" w:rsidP="00866B0F">
      <w:pPr>
        <w:spacing w:after="0" w:line="240" w:lineRule="auto"/>
        <w:ind w:firstLine="720"/>
        <w:jc w:val="both"/>
        <w:rPr>
          <w:lang w:val="en-US"/>
        </w:rPr>
      </w:pPr>
      <w:r w:rsidRPr="00067267">
        <w:rPr>
          <w:lang w:val="en-US"/>
        </w:rPr>
        <w:t xml:space="preserve">Financial targets such as sales targets set by management cause pressure for operational personnel or for management itself. Companies that have a low return on assets for the current year tend to have greater pressure to improve performance, thereby triggering fraud. Based on research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{"citationItems":[{"id":"ITEM-1","itemData":{"ISSN":"00014826","abstract":"This study investigates the relationship between insider trading and fraud. We find that in the presence of fraud, insiders reduce their holdings of company stock through high levels of selling activity as measured by either the number of transactions, the number of shares sold, or the dollar amount of shares sold. Moreover, we present evidence that a cascaded logit model, incorporating insider trading variables and firm-specific financial characteristics, differentiates companies with fraud from companies without fraud.","author":[{"dropping-particle":"","family":"Summers","given":"Scott L.","non-dropping-particle":"","parse-names":false,"suffix":""},{"dropping-particle":"","family":"Sweeney","given":"John T.","non-dropping-particle":"","parse-names":false,"suffix":""}],"container-title":"Accounting Review","id":"ITEM-1","issue":"1","issued":{"date-parts":[["1998"]]},"page":"131-146","title":"Fraudulently misstated financial statements and insider trading: An empirical analysis","type":"article-journal","volume":"73"},"uris":["http://www.mendeley.com/documents/?uuid=4daa20a9-e34a-4c1f-9429-9c4bcdcbfce7"]}],"mendeley":{"formattedCitation":"(Summers &amp; Sweeney, 1998)","manualFormatting":"Summers &amp; Sweeney (1998)","plainTextFormattedCitation":"(Summers &amp; Sweeney, 1998)","previouslyFormattedCitation":"(Summers &amp; Sweeney, 1998)"},"properties":{"noteIndex":0},"schema":"https://github.com/citation-style-language/schema/raw/master/csl-citation.json"}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Summers &amp; Sweeney (1998)</w:t>
        </w:r>
        <w:r w:rsidRPr="00067267">
          <w:rPr>
            <w:rStyle w:val="Hyperlink"/>
            <w:u w:val="none"/>
            <w:lang w:val="en-US"/>
          </w:rPr>
          <w:fldChar w:fldCharType="end"/>
        </w:r>
      </w:hyperlink>
      <w:r w:rsidRPr="00067267">
        <w:rPr>
          <w:lang w:val="en-US"/>
        </w:rPr>
        <w:t xml:space="preserve"> found that there are significant differences in return on assets between companies that commit fraud and companies that do not commit fraud. Previous research from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Nugraheni","given":"","non-dropping-particle":"","parse-names":false,"suffix":""},{"dropping-particle":"","family":"Trihatmoko","given":"","non-dropping-particle":"","parse-names":false,"suffix":""}],"container-title":"Jurnal Akuntansi dan Auditing","id":"ITEM-1","issue":"2","issued":{"date-parts":[["2018"]]},"page":"118-143","title":"Analisis faktor-faktor yang mempengaruhi terjadinya financial statement fraud : Perspektif Diamond Fraud Theory(Studi pada perusahaan perbankan yang terdaftar di Bursa Efek Indonesia periode 2014-2016No Title","type":"article-journal","volume":"14"},"uris":["http://www.mendeley.com/documents/?uuid=d90b20b8-46fa-410a-b78d-6a2458f0fb92"]}],"mendeley":{"formattedCitation":"(Nugraheni &amp; Trihatmoko, 2018)","manualFormatting":"Nugraheni &amp; Trihatmoko, (2018)","plainTextFormattedCitation":"(Nugraheni &amp; Trihatmoko, 2018)","previouslyFormattedCitation":"(Nugraheni &amp; Trihatmoko, 2018)"},"properties":{"noteIndex":0},"schema":"https://github.com/citation-style-language/schema/raw/master/csl-citation.json"}</w:instrText>
        </w:r>
        <w:r w:rsidRPr="00067267">
          <w:rPr>
            <w:rStyle w:val="Hyperlink"/>
            <w:u w:val="none"/>
            <w:lang w:val="en-US"/>
          </w:rPr>
          <w:fldChar w:fldCharType="separate"/>
        </w:r>
        <w:r w:rsidR="00B7180B" w:rsidRPr="00067267">
          <w:rPr>
            <w:rStyle w:val="Hyperlink"/>
            <w:u w:val="none"/>
            <w:lang w:val="en-US"/>
          </w:rPr>
          <w:t>Nugraheni &amp; Trihatmoko</w:t>
        </w:r>
        <w:r w:rsidRPr="00067267">
          <w:rPr>
            <w:rStyle w:val="Hyperlink"/>
            <w:u w:val="none"/>
            <w:lang w:val="en-US"/>
          </w:rPr>
          <w:t xml:space="preserve"> (2018)</w:t>
        </w:r>
        <w:r w:rsidRPr="00067267">
          <w:rPr>
            <w:rStyle w:val="Hyperlink"/>
            <w:u w:val="none"/>
            <w:lang w:val="en-US"/>
          </w:rPr>
          <w:fldChar w:fldCharType="end"/>
        </w:r>
      </w:hyperlink>
      <w:r w:rsidRPr="00067267">
        <w:rPr>
          <w:lang w:val="en-US"/>
        </w:rPr>
        <w:t xml:space="preserve"> shows that there are positive financial targets that are proxied by ROA and are in line with research by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Oktaviani","given":"E","non-dropping-particle":"","parse-names":false,"suffix":""},{"dropping-particle":"","family":"Karyawati","given":"G","non-dropping-particle":"","parse-names":false,"suffix":""}],"container-title":"Economic &amp; Business Research Festival Universitas Kristen Satya Wacana","id":"ITEM-1","issued":{"date-parts":[["2014"]]},"page":"1939-1955","title":"Factors Affecting Financial Statement Fraud : Fraud Triangle Approach","type":"article-journal","volume":"3"},"uris":["http://www.mendeley.com/documents/?uuid=e58295b0-7f07-4dd8-97be-f289b8758006"]}],"mendeley":{"formattedCitation":"(Oktaviani &amp; Karyawati, 2014)","manualFormatting":"Oktaviani &amp; Karyawati, (2014)","plainTextFormattedCitation":"(Oktaviani &amp; Karyawati, 2014)","previouslyFormattedCitation":"(Oktaviani &amp; Karyawati, 2014)"},"properties":{"noteIndex":0},"schema":"https://github.com/citation-style-language/schema/raw/master/csl-citation.json"}</w:instrText>
        </w:r>
        <w:r w:rsidRPr="00067267">
          <w:rPr>
            <w:rStyle w:val="Hyperlink"/>
            <w:u w:val="none"/>
            <w:lang w:val="en-US"/>
          </w:rPr>
          <w:fldChar w:fldCharType="separate"/>
        </w:r>
        <w:r w:rsidR="00B7180B" w:rsidRPr="00067267">
          <w:rPr>
            <w:rStyle w:val="Hyperlink"/>
            <w:u w:val="none"/>
            <w:lang w:val="en-US"/>
          </w:rPr>
          <w:t>Oktaviani &amp; Karyawati</w:t>
        </w:r>
        <w:r w:rsidRPr="00067267">
          <w:rPr>
            <w:rStyle w:val="Hyperlink"/>
            <w:u w:val="none"/>
            <w:lang w:val="en-US"/>
          </w:rPr>
          <w:t xml:space="preserve"> (2014)</w:t>
        </w:r>
        <w:r w:rsidRPr="00067267">
          <w:rPr>
            <w:rStyle w:val="Hyperlink"/>
            <w:u w:val="none"/>
            <w:lang w:val="en-US"/>
          </w:rPr>
          <w:fldChar w:fldCharType="end"/>
        </w:r>
      </w:hyperlink>
      <w:r w:rsidRPr="00067267">
        <w:rPr>
          <w:lang w:val="en-US"/>
        </w:rPr>
        <w:t xml:space="preserve">. Consistent with previous study </w:t>
      </w:r>
      <w:hyperlink w:anchor="_References_1" w:history="1">
        <w:r w:rsidRPr="00067267">
          <w:rPr>
            <w:rStyle w:val="Hyperlink"/>
            <w:u w:val="none"/>
            <w:lang w:val="en-US"/>
          </w:rPr>
          <w:t>Noble (2019)</w:t>
        </w:r>
      </w:hyperlink>
      <w:r w:rsidRPr="00067267">
        <w:rPr>
          <w:lang w:val="en-US"/>
        </w:rPr>
        <w:t xml:space="preserve"> found that financial target proxied by change in auditors have a significa</w:t>
      </w:r>
      <w:r w:rsidR="00B7180B" w:rsidRPr="00067267">
        <w:rPr>
          <w:lang w:val="en-US"/>
        </w:rPr>
        <w:t>nt on financial statement fraud</w:t>
      </w:r>
      <w:r w:rsidRPr="00067267">
        <w:rPr>
          <w:lang w:val="en-US"/>
        </w:rPr>
        <w:t>.</w:t>
      </w:r>
      <w:r w:rsidR="00B7180B" w:rsidRPr="00067267">
        <w:rPr>
          <w:lang w:val="en-US"/>
        </w:rPr>
        <w:t xml:space="preserve"> </w:t>
      </w:r>
      <w:r w:rsidRPr="00067267">
        <w:rPr>
          <w:lang w:val="en-US"/>
        </w:rPr>
        <w:t xml:space="preserve">However,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{"citationItems":[{"id":"ITEM-1","itemData":{"ISSN":"2549-791X","abstract":"Penelitian ini dilakukan dengan maksud untuk menganalisis pengaruh Rasio Keuangan dan Ukuran Perusahaan terhadap Financial Distress pada perusahaan manufaktur sektor food and beverage yang terdaftar di Bursa Efek Indonesia periode 2013 sampai dengan 2015. Rasio yang digunakan sebagai alat analisis adalah rasio likuiditas, leverage , pertumbuhan ( sales growth ), dan ukuran perusahaan. Menggunakan teknik purpossive sampling jumlah sampel adalah 13 perusahaan dengan pengamatan selama 3 tahun, dengan jumlah penelitian adalah 39 laporan keuangan. Pengujian hipotesis dalam penelitian ini menggunakan analisis regresi linear berganda dengan uji t, uji F, dan koefisien determinasi. Berdasarkan hasil analisis berganda dengan tingkat signifikan sebesar 5%, hasil penelitian menunjukkan bahwa secara simultan likuiditas, leverage , sales growth , dan ukuran perusahaan berpengaruh signifikan terhadap financial distress . Sedangkan secara parsial likuiditas, leverage dan ukuran perusahaan berpengaruh tidak signifikan terhadap financial distress .Dan sales growth berpengaruh positif signifikan terhadap financial distress . Kata Kunci : Likuiditas, Leverage , Sales Growth , Ukuran Perusahan, Financial distress .","author":[{"dropping-particle":"","family":"Rahayu","given":"Wiwin Putri","non-dropping-particle":"","parse-names":false,"suffix":""},{"dropping-particle":"","family":"Sopian","given":"Dani","non-dropping-particle":"","parse-names":false,"suffix":""}],"container-title":"Competitive Jurnal Akuntansi dan Keuangan","id":"ITEM-1","issued":{"date-parts":[["2017"]]},"title":"Pengaruh Rasio Keuangan Dan Ukuran Perusahaan Terhadap Financial Distress (Studi Empiris Pada Perusahaan Food and Beverage Di Bursa Efek Indonesia)","type":"article-journal"},"uris":["http://www.mendeley.com/documents/?uuid=2ba90d73-ebd9-3bbc-8821-19fa121fb6de"]}],"mendeley":{"formattedCitation":"(Rahayu &amp; Sopian, 2017)","manualFormatting":"Rahayu &amp; Sopian, (2017)","plainTextFormattedCitation":"(Rahayu &amp; Sopian, 2017)","previouslyFormattedCitation":"(Rahayu &amp; Sopian, 2017)"},"properties":{"noteIndex":0},"schema":"https://github.com/citation-style-language/schema/raw/master/csl-citation.json"}</w:instrText>
        </w:r>
        <w:r w:rsidRPr="00067267">
          <w:rPr>
            <w:rStyle w:val="Hyperlink"/>
            <w:u w:val="none"/>
            <w:lang w:val="en-US"/>
          </w:rPr>
          <w:fldChar w:fldCharType="separate"/>
        </w:r>
        <w:r w:rsidR="00B7180B" w:rsidRPr="00067267">
          <w:rPr>
            <w:rStyle w:val="Hyperlink"/>
            <w:u w:val="none"/>
            <w:lang w:val="en-US"/>
          </w:rPr>
          <w:t>Rahayu &amp; Sopian</w:t>
        </w:r>
        <w:r w:rsidRPr="00067267">
          <w:rPr>
            <w:rStyle w:val="Hyperlink"/>
            <w:u w:val="none"/>
            <w:lang w:val="en-US"/>
          </w:rPr>
          <w:t xml:space="preserve"> (2017)</w:t>
        </w:r>
        <w:r w:rsidRPr="00067267">
          <w:rPr>
            <w:rStyle w:val="Hyperlink"/>
            <w:u w:val="none"/>
            <w:lang w:val="en-US"/>
          </w:rPr>
          <w:fldChar w:fldCharType="end"/>
        </w:r>
      </w:hyperlink>
      <w:r w:rsidRPr="00067267">
        <w:rPr>
          <w:lang w:val="en-US"/>
        </w:rPr>
        <w:t xml:space="preserve"> stated that financial targets proxied by ROA did not significant on fraudulent on financial reporting. Based on this review, the hypothesis is formulated as follows:  </w:t>
      </w:r>
    </w:p>
    <w:p w:rsidR="00866B0F" w:rsidRPr="00067267" w:rsidRDefault="00866B0F" w:rsidP="00866B0F">
      <w:pPr>
        <w:spacing w:after="0" w:line="240" w:lineRule="auto"/>
        <w:jc w:val="both"/>
        <w:rPr>
          <w:lang w:val="en-US"/>
        </w:rPr>
      </w:pPr>
      <w:r w:rsidRPr="00067267">
        <w:rPr>
          <w:lang w:val="en-US"/>
        </w:rPr>
        <w:t>H</w:t>
      </w:r>
      <w:r w:rsidRPr="00067267">
        <w:rPr>
          <w:vertAlign w:val="subscript"/>
          <w:lang w:val="en-US"/>
        </w:rPr>
        <w:t>3</w:t>
      </w:r>
      <w:r w:rsidRPr="00067267">
        <w:rPr>
          <w:lang w:val="en-US"/>
        </w:rPr>
        <w:t>: Financial targets have a positive significant on fraudulent on financial reporting</w:t>
      </w:r>
    </w:p>
    <w:p w:rsidR="00866B0F" w:rsidRPr="00067267" w:rsidRDefault="00866B0F" w:rsidP="00866B0F">
      <w:pPr>
        <w:spacing w:after="0" w:line="240" w:lineRule="auto"/>
        <w:ind w:firstLine="720"/>
        <w:jc w:val="both"/>
        <w:rPr>
          <w:lang w:val="en-US"/>
        </w:rPr>
      </w:pPr>
      <w:r w:rsidRPr="00067267">
        <w:rPr>
          <w:lang w:val="en-US"/>
        </w:rPr>
        <w:t xml:space="preserve">To observe the opportunity perspective as the second element of the Fraud Triangle using an effective monitoring variable. Ineffective monitoring is a signal of the weakness in the surveillance system owned by the company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{"citationItems":[{"id":"ITEM-1","itemData":{"DOI":"978-1-93735-239-4","ISBN":"9781937352394","abstract":"This project was commissioned by COSO, which is dedicated to providing thought lead- ership through the development of comprehensive frameworks and guidance on internal control, enterprise risk management, and fraud deterrence designed to improve organi- zational performance and oversight and to reduce the extent of fraud in organizations. COSO is a private sector initiative.","author":[{"dropping-particle":"","family":"Coso","given":"The Committee of Sponsoring Organizations of the Treadway Commission","non-dropping-particle":"","parse-names":false,"suffix":""}],"container-title":"New York","id":"ITEM-1","issued":{"date-parts":[["2013"]]},"title":"Internal control - integrated framework: executive summary","type":"book"},"uris":["http://www.mendeley.com/documents/?uuid=2b6b50ea-fdac-4b8d-b86f-9bd1e6f7adab"]}],"mendeley":{"formattedCitation":"(Coso, 2013)","manualFormatting":"COSO, (2013)","plainTextFormattedCitation":"(Coso, 2013)","previouslyFormattedCitation":"(Coso, 2013)"},"properties":{"noteIndex":0},"schema":"https://github.com/citation-style-language/schema/raw/master/csl-citation.json"}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COSO, (2013)</w:t>
        </w:r>
        <w:r w:rsidRPr="00067267">
          <w:rPr>
            <w:rStyle w:val="Hyperlink"/>
            <w:u w:val="none"/>
            <w:lang w:val="en-US"/>
          </w:rPr>
          <w:fldChar w:fldCharType="end"/>
        </w:r>
      </w:hyperlink>
      <w:r w:rsidRPr="00067267">
        <w:rPr>
          <w:lang w:val="en-US"/>
        </w:rPr>
        <w:t>. Companies that commit fraud tend to have a composition of directors from outside the company less than companies that do not commit fraud (</w:t>
      </w:r>
      <w:r w:rsidRPr="00067267">
        <w:rPr>
          <w:lang w:val="en-US"/>
        </w:rPr>
        <w:fldChar w:fldCharType="begin" w:fldLock="1"/>
      </w:r>
      <w:r w:rsidRPr="00067267">
        <w:rPr>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Journal","id":"ITEM-1","issued":{"date-parts":[["2009"]]},"title":"Fraud score analysis in emerging markets","type":"article-journal"},"uris":["http://www.mendeley.com/documents/?uuid=71c3d2dd-2e57-4e1c-8061-9f9787489b60"]}],"mendeley":{"formattedCitation":"(Skousen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Skousen &amp; Twedt, 2009</w:t>
        </w:r>
      </w:hyperlink>
      <w:r w:rsidRPr="00067267">
        <w:rPr>
          <w:lang w:val="en-US"/>
        </w:rPr>
        <w:t>)</w:t>
      </w:r>
      <w:r w:rsidRPr="00067267">
        <w:rPr>
          <w:lang w:val="en-US"/>
        </w:rPr>
        <w:fldChar w:fldCharType="end"/>
      </w:r>
      <w:r w:rsidRPr="00067267">
        <w:rPr>
          <w:lang w:val="en-US"/>
        </w:rPr>
        <w:t xml:space="preserve">.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Journal","id":"ITEM-1","issued":{"date-parts":[["2009"]]},"title":"Fraud score analysis in emerging markets","type":"article-journal"},"uris":["http://www.mendeley.com/documents/?uuid=71c3d2dd-2e57-4e1c-8061-9f9787489b60"]}],"mendeley":{"formattedCitation":"(Skousen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Pr="00067267">
          <w:rPr>
            <w:rStyle w:val="Hyperlink"/>
            <w:u w:val="none"/>
            <w:lang w:val="en-US"/>
          </w:rPr>
          <w:fldChar w:fldCharType="separate"/>
        </w:r>
        <w:r w:rsidR="00B7180B" w:rsidRPr="00067267">
          <w:rPr>
            <w:rStyle w:val="Hyperlink"/>
            <w:u w:val="none"/>
            <w:lang w:val="en-US"/>
          </w:rPr>
          <w:t>Skousen &amp; Twedt</w:t>
        </w:r>
        <w:r w:rsidRPr="00067267">
          <w:rPr>
            <w:rStyle w:val="Hyperlink"/>
            <w:u w:val="none"/>
            <w:lang w:val="en-US"/>
          </w:rPr>
          <w:t xml:space="preserve"> (2009)</w:t>
        </w:r>
        <w:r w:rsidRPr="00067267">
          <w:rPr>
            <w:rStyle w:val="Hyperlink"/>
            <w:u w:val="none"/>
            <w:lang w:val="en-US"/>
          </w:rPr>
          <w:fldChar w:fldCharType="end"/>
        </w:r>
      </w:hyperlink>
      <w:r w:rsidRPr="00067267">
        <w:rPr>
          <w:lang w:val="en-US"/>
        </w:rPr>
        <w:t xml:space="preserve"> states that companies with an independent board of commissioner composition will be more effective in preventing fraud than companies that do not have this function. Board of commissioner as one of the internal governance structure who has the main function to supervise and monitor the management action. The more ineffectiveness of the board of commissioners than will higher fraudulent financial statement. Besided, the Financial Services Authority (OJK) in POJK no. 10/POJK.04/2018 also emphasizes the importance of supervision by requiring public companies to have an independent commissioner with a composition of at least 30%. Research results from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Aprilia","given":"","non-dropping-particle":"","parse-names":false,"suffix":""},{"dropping-particle":"","family":"Sergius","given":"","non-dropping-particle":"","parse-names":false,"suffix":""}],"container-title":"Riset Akuntansi dan Keuangan","id":"ITEM-1","issue":"3","issued":{"date-parts":[["2015"]]},"page":"786-800","title":"The effectibeness of fraud triangle on detecting fraudulent financial statements : using Benesih model and the case of special companies","type":"article-journal","volume":"3"},"uris":["http://www.mendeley.com/documents/?uuid=3f0bea7e-020d-473d-be0c-5d0fcf6bebf2"]}],"mendeley":{"formattedCitation":"(Aprilia &amp; Sergius, 2015)","manualFormatting":"Aprilia &amp; Sergius, (2015)","plainTextFormattedCitation":"(Aprilia &amp; Sergius, 2015)","previouslyFormattedCitation":"(Aprilia &amp; Sergius, 2015)"},"properties":{"noteIndex":0},"schema":"https://github.com/citation-style-language/schema/raw/master/csl-citation.json"}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Aprilia &amp; Sergius, (2015)</w:t>
        </w:r>
        <w:r w:rsidRPr="00067267">
          <w:rPr>
            <w:rStyle w:val="Hyperlink"/>
            <w:u w:val="none"/>
            <w:lang w:val="en-US"/>
          </w:rPr>
          <w:fldChar w:fldCharType="end"/>
        </w:r>
      </w:hyperlink>
      <w:r w:rsidRPr="00067267">
        <w:rPr>
          <w:lang w:val="en-US"/>
        </w:rPr>
        <w:t xml:space="preserve">;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{"citationItems":[{"id":"ITEM-1","itemData":{"DOI":"10.20885/jaai.vol19.iss2.art3","ISSN":"14102420","abstract":"The purpose of this study is to test the effect of fraud triangle in explaining the phenomenon of financial statement frauds. To achieve these objectives, this research examines the factors that influence financial statement frauds consists of 7 (seven) independent variables are adopted from research (Skousen, Smith, and Wright 2009). Four variables of pressure elements (financial stability, personal financial need, external pressure and financial targets), the two variables of opportunity elements (nature of the industry and effective monitoring) and one variable of the elements of rationalization. Based on logistic regression analysis of the 36 companies that commit fraud and 54 companies that did not commit fraud during 2011 to 2013 concluded that there is a positive influence between financial stability (ACHANGE) and external pressure (LEV) against financial statement frauds, while the effective monitoring (IND) has negative effect on the financial statement frauds. These results give support to the fraud triangle theory in explaining the phenomenon of financial statement frauds.","author":[{"dropping-particle":"","family":"Tiffani","given":"Laila","non-dropping-particle":"","parse-names":false,"suffix":""},{"dropping-particle":"","family":"Marfuah","given":"Marfuah","non-dropping-particle":"","parse-names":false,"suffix":""}],"container-title":"Jurnal Akuntansi &amp; Auditing Indonesia","id":"ITEM-1","issue":"2","issued":{"date-parts":[["2015"]]},"page":"112-115","title":"Deteksi financial statement fraud dengan analisis fraud triangle pada perusahaan manufaktur yang terdaftar di bursa efek Indonesia","type":"article-journal","volume":"19"},"uris":["http://www.mendeley.com/documents/?uuid=e13cb176-ac9a-4b60-bd6a-a69902674266"]}],"mendeley":{"formattedCitation":"(Tiffani &amp; Marfuah, 2015)","manualFormatting":"Tiffani &amp; Marfuah, (2015)","plainTextFormattedCitation":"(Tiffani &amp; Marfuah, 2015)"},"properties":{"noteIndex":0},"schema":"https://github.com/citation-style-language/schema/raw/master/csl-citation.json"}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Tiffani &amp; Marfuah, (2015)</w:t>
        </w:r>
        <w:r w:rsidRPr="00067267">
          <w:rPr>
            <w:rStyle w:val="Hyperlink"/>
            <w:u w:val="none"/>
            <w:lang w:val="en-US"/>
          </w:rPr>
          <w:fldChar w:fldCharType="end"/>
        </w:r>
      </w:hyperlink>
      <w:r w:rsidRPr="00067267">
        <w:rPr>
          <w:lang w:val="en-US"/>
        </w:rPr>
        <w:t xml:space="preserve">;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Oktarigusta","given":"","non-dropping-particle":"","parse-names":false,"suffix":""},{"dropping-particle":"","family":"Lutfiana","given":"","non-dropping-particle":"","parse-names":false,"suffix":""}],"container-title":"Ekonomi Manajemen Sumber Daya","id":"ITEM-1","issue":"2","issued":{"date-parts":[["2017"]]},"page":"92-108","title":"Analisis fraud diamond untukmendeteksi terjadinya financial statement fraud di perusahaan (studi empiris pada perusahaan manufaktur yang terdaftar di BEI tahun 2012-2015)","type":"article-journal","volume":"19"},"uris":["http://www.mendeley.com/documents/?uuid=0cd07c63-3c73-4679-aa4a-cd7aa3760e2c"]}],"mendeley":{"formattedCitation":"(Oktarigusta &amp; Lutfiana, 2017)","manualFormatting":"Oktarigusta &amp; Lutfiana, (2017)","plainTextFormattedCitation":"(Oktarigusta &amp; Lutfiana, 2017)","previouslyFormattedCitation":"(Oktarigusta &amp; Lutfiana, 2017)"},"properties":{"noteIndex":0},"schema":"https://github.com/citation-style-language/schema/raw/master/csl-citation.json"}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Oktarigusta &amp; Lutfiana, (2017)</w:t>
        </w:r>
        <w:r w:rsidRPr="00067267">
          <w:rPr>
            <w:rStyle w:val="Hyperlink"/>
            <w:u w:val="none"/>
            <w:lang w:val="en-US"/>
          </w:rPr>
          <w:fldChar w:fldCharType="end"/>
        </w:r>
      </w:hyperlink>
      <w:r w:rsidRPr="00067267">
        <w:rPr>
          <w:lang w:val="en-US"/>
        </w:rPr>
        <w:t xml:space="preserve"> said effective monitoring influences fraudulent on financial reporting whereas </w:t>
      </w:r>
      <w:r w:rsidRPr="00067267">
        <w:rPr>
          <w:lang w:val="en-US"/>
        </w:rPr>
        <w:fldChar w:fldCharType="begin" w:fldLock="1"/>
      </w:r>
      <w:r w:rsidRPr="00067267">
        <w:rPr>
          <w:lang w:val="en-US"/>
        </w:rPr>
        <w:instrText>ADDIN CSL_CITATION {"citationItems":[{"id":"ITEM-1","itemData":{"author":[{"dropping-particle":"","family":"Zahro","given":"","non-dropping-particle":"","parse-names":false,"suffix":""},{"dropping-particle":"","family":"Yulia","given":"","non-dropping-particle":"","parse-names":false,"suffix":""}],"container-title":"Riset akuntansi","id":"ITEM-1","issue":"9","issued":{"date-parts":[["2018"]]},"page":"51-64","title":"Deteksi financial statement fraud dengan analisis fraud triangle pada perusahaan manufaktur","type":"article-journal","volume":"7"},"uris":["http://www.mendeley.com/documents/?uuid=a2421c6e-8e6e-4ad7-a806-947509a1302a"]}],"mendeley":{"formattedCitation":"(Zahro &amp; Yulia, 2018)","plainTextFormattedCitation":"(Zahro &amp; Yulia, 2018)","previouslyFormattedCitation":"(Zahro &amp; Yulia, 2018)"},"properties":{"noteIndex":0},"schema":"https://github.com/citation-style-language/schema/raw/master/csl-citation.json"}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Zahro &amp; Yulia, 2018</w:t>
        </w:r>
      </w:hyperlink>
      <w:r w:rsidRPr="00067267">
        <w:rPr>
          <w:lang w:val="en-US"/>
        </w:rPr>
        <w:t>)</w:t>
      </w:r>
      <w:r w:rsidRPr="00067267">
        <w:rPr>
          <w:lang w:val="en-US"/>
        </w:rPr>
        <w:fldChar w:fldCharType="end"/>
      </w:r>
      <w:r w:rsidRPr="00067267">
        <w:rPr>
          <w:lang w:val="en-US"/>
        </w:rPr>
        <w:t xml:space="preserve"> in his research resulted in effective monitoring not affecting fraudulent on financial reporting. Based on the explanation, the hypothesis is formulated as follows:</w:t>
      </w:r>
    </w:p>
    <w:p w:rsidR="00866B0F" w:rsidRPr="00067267" w:rsidRDefault="00866B0F" w:rsidP="00866B0F">
      <w:pPr>
        <w:spacing w:after="0" w:line="240" w:lineRule="auto"/>
        <w:jc w:val="both"/>
        <w:rPr>
          <w:lang w:val="en-US"/>
        </w:rPr>
      </w:pPr>
      <w:r w:rsidRPr="00067267">
        <w:rPr>
          <w:lang w:val="en-US"/>
        </w:rPr>
        <w:t>H</w:t>
      </w:r>
      <w:r w:rsidRPr="00067267">
        <w:rPr>
          <w:vertAlign w:val="subscript"/>
          <w:lang w:val="en-US"/>
        </w:rPr>
        <w:t>4</w:t>
      </w:r>
      <w:r w:rsidRPr="00067267">
        <w:rPr>
          <w:lang w:val="en-US"/>
        </w:rPr>
        <w:t>: Effective monitoring has a negative significant on fraudulent on financial reporting</w:t>
      </w:r>
    </w:p>
    <w:p w:rsidR="00866B0F" w:rsidRPr="00067267" w:rsidRDefault="00866B0F" w:rsidP="00866B0F">
      <w:pPr>
        <w:spacing w:after="0" w:line="240" w:lineRule="auto"/>
        <w:ind w:firstLine="720"/>
        <w:jc w:val="both"/>
        <w:rPr>
          <w:lang w:val="en-US"/>
        </w:rPr>
      </w:pPr>
      <w:r w:rsidRPr="00067267">
        <w:rPr>
          <w:lang w:val="en-US"/>
        </w:rPr>
        <w:t>The rationalization perspective as an element of the third Fraud Triangle using accrual (</w:t>
      </w:r>
      <w:r w:rsidRPr="00067267">
        <w:rPr>
          <w:lang w:val="en-US"/>
        </w:rPr>
        <w:fldChar w:fldCharType="begin" w:fldLock="1"/>
      </w:r>
      <w:r w:rsidRPr="00067267">
        <w:rPr>
          <w:lang w:val="en-US"/>
        </w:rPr>
        <w:instrText>ADDIN CSL_CITATION {"citationItems":[{"id":"ITEM-1","itemData":{"DOI":"10.1016/S0278-4254(97)00023-9","ISSN":"02784254","abstract":"My paper presents a model to detect earnings management among firms experiencing extreme financial performance, and compares the model's performance to that of discretionary accrual models. I found that the model provides timely assessments of the likelihood of manipulation, and that model-based trading strategies earn significant abnormal returns. I also present evidence suggesting that the specification of discretionary accrual models could be enhanced by adding lagged total accruals and a measure of past price performance as explanators. The evidence arises from studying actual instances of earnings management. Its implications are in line with the Guay et al. (1996, p. 104) conjecture that accrual models which take into account managers' incentives, and recognize that discretionary accruals reverse, have a better chance of identifying discretionary accruals. The results have implications for researchers investigating managers' accrual decisions in contexts such as security offerings and financial distress, where extreme performance limits the usefulness of accrual models. © 1997 Elsevier Science Inc.","author":[{"dropping-particle":"","family":"Beneish","given":"Messod D.","non-dropping-particle":"","parse-names":false,"suffix":""}],"container-title":"Journal of Accounting and Public Policy","id":"ITEM-1","issued":{"date-parts":[["1997"]]},"title":"Detecting GAAP violation: Implications for assessing earnings management among firms with extreme financial performance","type":"article-journal"},"uris":["http://www.mendeley.com/documents/?uuid=3306f6a0-c8fd-44f1-b412-8fbea869e332"]}],"mendeley":{"formattedCitation":"(M. D. Beneish, 1997)","manualFormatting":"Beneish, 1997)","plainTextFormattedCitation":"(M. D. Beneish, 1997)","previouslyFormattedCitation":"(M. D. Beneish, 1997)"},"properties":{"noteIndex":0},"schema":"https://github.com/citation-style-language/schema/raw/master/csl-citation.json"}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Beneish, 1997</w:t>
        </w:r>
      </w:hyperlink>
      <w:r w:rsidRPr="00067267">
        <w:rPr>
          <w:lang w:val="en-US"/>
        </w:rPr>
        <w:t>)</w:t>
      </w:r>
      <w:r w:rsidRPr="00067267">
        <w:rPr>
          <w:lang w:val="en-US"/>
        </w:rPr>
        <w:fldChar w:fldCharType="end"/>
      </w:r>
      <w:r w:rsidRPr="00067267">
        <w:rPr>
          <w:lang w:val="en-US"/>
        </w:rPr>
        <w:t>. It argues that the value of the accruals is representative of the decisions made by management. The three elements of Triangle fraud appear in the process of preparing financial statements and the gr</w:t>
      </w:r>
      <w:r w:rsidR="00B7180B" w:rsidRPr="00067267">
        <w:rPr>
          <w:lang w:val="en-US"/>
        </w:rPr>
        <w:t>eater potential fraud can occur</w:t>
      </w:r>
      <w:r w:rsidRPr="00067267">
        <w:rPr>
          <w:lang w:val="en-US"/>
        </w:rPr>
        <w:t xml:space="preserve">. This is due to the pressure triggering companies to look for profitable and feasible ways to display good performance conditions in financial statements and when they realize that there are opportunities, the company will use rationalization or convince themselves that the company is experiencing a similar situation. Therefore, the three elements of the fraud triangle are the main actors in the occurrence of fraudulent financial statements. Previous research that discusses the rationalization of fraud from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Oktarigusta","given":"","non-dropping-particle":"","parse-names":false,"suffix":""},{"dropping-particle":"","family":"Lutfiana","given":"","non-dropping-particle":"","parse-names":false,"suffix":""}],"container-title":"Ekonomi Manajemen Sumber Daya","id":"ITEM-1","issue":"2","issued":{"date-parts":[["2017"]]},"page":"92-108","title":"Analisis fraud diamond untukmendeteksi terjadinya financial statement fraud di perusahaan (studi empiris pada perusahaan manufaktur yang terdaftar di BEI tahun 2012-2015)","type":"article-journal","volume":"19"},"uris":["http://www.mendeley.com/documents/?uuid=0cd07c63-3c73-4679-aa4a-cd7aa3760e2c"]}],"mendeley":{"formattedCitation":"(Oktarigusta &amp; Lutfiana, 2017)","manualFormatting":"Oktarigusta &amp; Lutfiana, (2017)","plainTextFormattedCitation":"(Oktarigusta &amp; Lutfiana, 2017)","previouslyFormattedCitation":"(Oktarigusta &amp; Lutfiana, 2017)"},"properties":{"noteIndex":0},"schema":"https://github.com/citation-style-language/schema/raw/master/csl-citation.json"}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Oktarigusta &amp; Lutfiana, (2017)</w:t>
        </w:r>
        <w:r w:rsidRPr="00067267">
          <w:rPr>
            <w:rStyle w:val="Hyperlink"/>
            <w:u w:val="none"/>
            <w:lang w:val="en-US"/>
          </w:rPr>
          <w:fldChar w:fldCharType="end"/>
        </w:r>
      </w:hyperlink>
      <w:r w:rsidRPr="00067267">
        <w:rPr>
          <w:lang w:val="en-US"/>
        </w:rPr>
        <w:t xml:space="preserve">;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{"citationItems":[{"id":"ITEM-1","itemData":{"DOI":"10.32400/ja.24757.8.2.2019.66-74","ISSN":"2338-3917","abstract":"Fraud is an action taken intentionally and it is done for personal or other people's purposes, where the action has caused harm to certain parties or certain institutions. Misstatements contained in fraudulent financial statements are intentional misstatements to deceive users of financial statements. The source of this misstatement includes manipulation or falsification of accounting records, intentional misstatements or omissions from financial statements, and / or incorrect application of accounting principles. In Indonesia, accounting fraud also occurs at the company level, both private and government companies. On December 6, 2012, the announcement of Indonesia's score in the Corruption Perception Index (CPI) was 32 and ranked 118th out of 176 countries which measured the level of corruption (Transparency International, 2012). In 2001, a fraud scandal occurred by PT Kimia Farma Tbk. PT Kimia Farma is a state-owned company whose shares have been traded on the exchange to become public company. Based on indications by the Ministry of BUMN and Bapepam's examination, it was found that there were misstatements in the financial statements which resulted in overstatement of net income for the year ended 31 December 2001 of Rp. 32.7 billion, which represented 2.3% of sales and 24.7% from net income. The author's purpose of this study is to discuss about detecting fraud in financial statements by using 5 (five) of the 8 (eight) Beneish ratio indices, because Beneish's research states that the Days Sales in Receivables Index (DSRI) ratio index, the Gross Margin Index ( GMI), Asset Quality Index (AQI), Sales Growth Index (SGI), and Total Accrual to Total Asst Index (TATA) have significant results to detect financial report manipulation.","author":[{"dropping-particle":"","family":"Darise","given":"Rezky Febriendy","non-dropping-particle":"","parse-names":false,"suffix":""}],"container-title":"Accountability","id":"ITEM-1","issue":"2","issued":{"date-parts":[["2019"]]},"page":"66-74","title":"Detection of fraudulent financial statements using the Beneish ratio index for manufacturing companies listed on the Indonesia Stock Exchange in 2016 and 2017 period","type":"article-journal","volume":"8"},"uris":["http://www.mendeley.com/documents/?uuid=6baaaf1d-5ede-4b2e-b28c-16c6345d8df4"]}],"mendeley":{"formattedCitation":"(Darise, 2019)","manualFormatting":"Darise, (2019)","plainTextFormattedCitation":"(Darise, 2019)","previouslyFormattedCitation":"(Darise, 2019)"},"properties":{"noteIndex":0},"schema":"https://github.com/citation-style-language/schema/raw/master/csl-citation.json"}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Darise, (2019)</w:t>
        </w:r>
        <w:r w:rsidRPr="00067267">
          <w:rPr>
            <w:rStyle w:val="Hyperlink"/>
            <w:u w:val="none"/>
            <w:lang w:val="en-US"/>
          </w:rPr>
          <w:fldChar w:fldCharType="end"/>
        </w:r>
      </w:hyperlink>
      <w:r w:rsidRPr="00067267">
        <w:rPr>
          <w:lang w:val="en-US"/>
        </w:rPr>
        <w:t xml:space="preserve"> uses total accruals to total assets (TATA) as a rationalization proxy </w:t>
      </w:r>
      <w:r w:rsidRPr="00067267">
        <w:rPr>
          <w:lang w:val="en-US"/>
        </w:rPr>
        <w:lastRenderedPageBreak/>
        <w:t xml:space="preserve">resulting in total accruals to total assets affecting financial statements fraud but the results of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Aprilia","given":"","non-dropping-particle":"","parse-names":false,"suffix":""},{"dropping-particle":"","family":"Sergius","given":"","non-dropping-particle":"","parse-names":false,"suffix":""}],"container-title":"Riset Akuntansi dan Keuangan","id":"ITEM-1","issue":"3","issued":{"date-parts":[["2015"]]},"page":"786-800","title":"The effectibeness of fraud triangle on detecting fraudulent financial statements : using Benesih model and the case of special companies","type":"article-journal","volume":"3"},"uris":["http://www.mendeley.com/documents/?uuid=3f0bea7e-020d-473d-be0c-5d0fcf6bebf2"]}],"mendeley":{"formattedCitation":"(Aprilia &amp; Sergius, 2015)","manualFormatting":"Aprilia &amp; Sergius, (2015)","plainTextFormattedCitation":"(Aprilia &amp; Sergius, 2015)","previouslyFormattedCitation":"(Aprilia &amp; Sergius, 2015)"},"properties":{"noteIndex":0},"schema":"https://github.com/citation-style-language/schema/raw/master/csl-citation.json"}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Aprilia &amp; Sergius, (2015)</w:t>
        </w:r>
        <w:r w:rsidRPr="00067267">
          <w:rPr>
            <w:rStyle w:val="Hyperlink"/>
            <w:u w:val="none"/>
            <w:lang w:val="en-US"/>
          </w:rPr>
          <w:fldChar w:fldCharType="end"/>
        </w:r>
      </w:hyperlink>
      <w:r w:rsidRPr="00067267">
        <w:rPr>
          <w:lang w:val="en-US"/>
        </w:rPr>
        <w:t xml:space="preserve"> and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{"citationItems":[{"id":"ITEM-1","itemData":{"ISSN":"2549-791X","abstract":"Penelitian ini dilakukan dengan maksud untuk menganalisis pengaruh Rasio Keuangan dan Ukuran Perusahaan terhadap Financial Distress pada perusahaan manufaktur sektor food and beverage yang terdaftar di Bursa Efek Indonesia periode 2013 sampai dengan 2015. Rasio yang digunakan sebagai alat analisis adalah rasio likuiditas, leverage , pertumbuhan ( sales growth ), dan ukuran perusahaan. Menggunakan teknik purpossive sampling jumlah sampel adalah 13 perusahaan dengan pengamatan selama 3 tahun, dengan jumlah penelitian adalah 39 laporan keuangan. Pengujian hipotesis dalam penelitian ini menggunakan analisis regresi linear berganda dengan uji t, uji F, dan koefisien determinasi. Berdasarkan hasil analisis berganda dengan tingkat signifikan sebesar 5%, hasil penelitian menunjukkan bahwa secara simultan likuiditas, leverage , sales growth , dan ukuran perusahaan berpengaruh signifikan terhadap financial distress . Sedangkan secara parsial likuiditas, leverage dan ukuran perusahaan berpengaruh tidak signifikan terhadap financial distress .Dan sales growth berpengaruh positif signifikan terhadap financial distress . Kata Kunci : Likuiditas, Leverage , Sales Growth , Ukuran Perusahan, Financial distress .","author":[{"dropping-particle":"","family":"Rahayu","given":"Wiwin Putri","non-dropping-particle":"","parse-names":false,"suffix":""},{"dropping-particle":"","family":"Sopian","given":"Dani","non-dropping-particle":"","parse-names":false,"suffix":""}],"container-title":"Competitive Jurnal Akuntansi dan Keuangan","id":"ITEM-1","issued":{"date-parts":[["2017"]]},"title":"Pengaruh Rasio Keuangan Dan Ukuran Perusahaan Terhadap Financial Distress (Studi Empiris Pada Perusahaan Food and Beverage Di Bursa Efek Indonesia)","type":"article-journal"},"uris":["http://www.mendeley.com/documents/?uuid=2ba90d73-ebd9-3bbc-8821-19fa121fb6de"]}],"mendeley":{"formattedCitation":"(Rahayu &amp; Sopian, 2017)","manualFormatting":"Rahayu &amp; Sopian, (2017)","plainTextFormattedCitation":"(Rahayu &amp; Sopian, 2017)","previouslyFormattedCitation":"(Rahayu &amp; Sopian, 2017)"},"properties":{"noteIndex":0},"schema":"https://github.com/citation-style-language/schema/raw/master/csl-citation.json"}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Rahayu &amp; Sopian, (2017)</w:t>
        </w:r>
        <w:r w:rsidRPr="00067267">
          <w:rPr>
            <w:rStyle w:val="Hyperlink"/>
            <w:u w:val="none"/>
            <w:lang w:val="en-US"/>
          </w:rPr>
          <w:fldChar w:fldCharType="end"/>
        </w:r>
      </w:hyperlink>
      <w:r w:rsidRPr="00067267">
        <w:rPr>
          <w:lang w:val="en-US"/>
        </w:rPr>
        <w:t xml:space="preserve"> did not find the effect of total accruals to total assets against fraudulent on financial reporting. Bas</w:t>
      </w:r>
      <w:r w:rsidR="00B7180B" w:rsidRPr="00067267">
        <w:rPr>
          <w:lang w:val="en-US"/>
        </w:rPr>
        <w:t>ed on the review above, the hyp</w:t>
      </w:r>
      <w:r w:rsidRPr="00067267">
        <w:rPr>
          <w:lang w:val="en-US"/>
        </w:rPr>
        <w:t>othesis is formulated as follows:</w:t>
      </w:r>
    </w:p>
    <w:p w:rsidR="00866B0F" w:rsidRPr="00067267" w:rsidRDefault="00866B0F" w:rsidP="00866B0F">
      <w:pPr>
        <w:spacing w:after="0" w:line="240" w:lineRule="auto"/>
        <w:jc w:val="both"/>
        <w:rPr>
          <w:lang w:val="en-US"/>
        </w:rPr>
      </w:pPr>
      <w:r w:rsidRPr="00067267">
        <w:rPr>
          <w:lang w:val="en-US"/>
        </w:rPr>
        <w:t>H</w:t>
      </w:r>
      <w:r w:rsidRPr="00067267">
        <w:rPr>
          <w:vertAlign w:val="subscript"/>
          <w:lang w:val="en-US"/>
        </w:rPr>
        <w:t>5</w:t>
      </w:r>
      <w:r w:rsidRPr="00067267">
        <w:rPr>
          <w:lang w:val="en-US"/>
        </w:rPr>
        <w:t>: Accruals have a positive significant on fraudulent on financial reporting</w:t>
      </w:r>
    </w:p>
    <w:p w:rsidR="00866B0F" w:rsidRPr="00067267" w:rsidRDefault="00866B0F" w:rsidP="00866B0F">
      <w:pPr>
        <w:spacing w:after="0" w:line="240" w:lineRule="auto"/>
        <w:ind w:firstLine="720"/>
        <w:jc w:val="both"/>
        <w:rPr>
          <w:lang w:val="en-US"/>
        </w:rPr>
      </w:pPr>
      <w:r w:rsidRPr="00067267">
        <w:rPr>
          <w:lang w:val="en-US"/>
        </w:rPr>
        <w:t xml:space="preserve">The author using moderation integration of technology industrial 4.0 because represents a new industrial stage of the manufacturing system by integrating a set of emerging and convergent technologies that add value to the whole product lifestyle </w:t>
      </w:r>
      <w:r w:rsidRPr="00067267">
        <w:rPr>
          <w:lang w:val="en-US"/>
        </w:rPr>
        <w:fldChar w:fldCharType="begin" w:fldLock="1"/>
      </w:r>
      <w:r w:rsidRPr="00067267">
        <w:rPr>
          <w:lang w:val="en-US"/>
        </w:rPr>
        <w:instrText>ADDIN CSL_CITATION {"citationItems":[{"id":"ITEM-1","itemData":{"author":[{"dropping-particle":"","family":"Dalenogare","given":"L.S","non-dropping-particle":"","parse-names":false,"suffix":""},{"dropping-particle":"","family":"Benitez","given":"G.B","non-dropping-particle":"","parse-names":false,"suffix":""},{"dropping-particle":"","family":"Ayala","given":"N.F","non-dropping-particle":"","parse-names":false,"suffix":""}],"container-title":"International journal Production Economic","id":"ITEM-1","issued":{"date-parts":[["2018"]]},"page":"383-394","title":"The expected contribution of Industry 4.0 technologies for industrial performance","type":"article-journal","volume":"204"},"uris":["http://www.mendeley.com/documents/?uuid=66cd8696-6b4d-4440-a274-9c72841c1e71"]}],"mendeley":{"formattedCitation":"(Dalenogare, Benitez, &amp; Ayala, 2018)","plainTextFormattedCitation":"(Dalenogare, Benitez, &amp; Ayala, 2018)","previouslyFormattedCitation":"(Dalenogare, Benitez, &amp; Ayala, 2018)"},"properties":{"noteIndex":0},"schema":"https://github.com/citation-style-language/schema/raw/master/csl-citation.json"}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Dalenogare</w:t>
        </w:r>
        <w:r w:rsidR="00B7180B" w:rsidRPr="00067267">
          <w:rPr>
            <w:rStyle w:val="Hyperlink"/>
            <w:u w:val="none"/>
            <w:lang w:val="en-US"/>
          </w:rPr>
          <w:t xml:space="preserve"> et al.,</w:t>
        </w:r>
        <w:r w:rsidRPr="00067267">
          <w:rPr>
            <w:rStyle w:val="Hyperlink"/>
            <w:u w:val="none"/>
            <w:lang w:val="en-US"/>
          </w:rPr>
          <w:t xml:space="preserve"> 2018</w:t>
        </w:r>
      </w:hyperlink>
      <w:r w:rsidRPr="00067267">
        <w:rPr>
          <w:lang w:val="en-US"/>
        </w:rPr>
        <w:t>)</w:t>
      </w:r>
      <w:r w:rsidRPr="00067267">
        <w:rPr>
          <w:lang w:val="en-US"/>
        </w:rPr>
        <w:fldChar w:fldCharType="end"/>
      </w:r>
      <w:r w:rsidRPr="00067267">
        <w:rPr>
          <w:lang w:val="en-US"/>
        </w:rPr>
        <w:t xml:space="preserve">.  Technology disruption is an evolution of technology that replaces all or the basis of technology that is commonly applied, technology that is really new or in the form of technology applications that were originally only applied in other fields </w:t>
      </w:r>
      <w:r w:rsidRPr="00067267">
        <w:rPr>
          <w:lang w:val="en-US"/>
        </w:rPr>
        <w:fldChar w:fldCharType="begin" w:fldLock="1"/>
      </w:r>
      <w:r w:rsidRPr="00067267">
        <w:rPr>
          <w:lang w:val="en-US"/>
        </w:rPr>
        <w:instrText>ADDIN CSL_CITATION {"citationItems":[{"id":"ITEM-1","itemData":{"DOI":"10.1109/CVPR.2017.389","ISBN":"9781538604571","abstract":"When considering person re-identification (re-ID) as a retrieval process, re-ranking is a critical step to improve its accuracy. Yet in the re-ID community, limited effort has been devoted to re-ranking, especially those fully automatic, unsupervised solutions. In this paper, we propose a k-reciprocal encoding method to re-rank the re-ID results. Our hypothesis is that if a gallery image is similar to the probe in the k-reciprocal nearest neighbors, it is more likely to be a true match. Specifically, given an image, a k- reciprocal feature is calculated by encoding its k-reciprocal nearest neighbors into a single vector, which is used for reranking under the Jaccard distance. The final distance is computed as the combination of the original distance and the Jaccard distance. Our re-ranking method does not require any human interaction or any labeled data, so it is applicable to large-scale datasets. Experiments on the largescale Market-1501, CUHK03, MARS, and PRW datasets confirm the effectiveness of our method1.","author":[{"dropping-particle":"","family":"Zhong","given":"","non-dropping-particle":"","parse-names":false,"suffix":""},{"dropping-particle":"","family":"Zheng","given":"","non-dropping-particle":"","parse-names":false,"suffix":""}],"container-title":"Proceedings - 30th IEEE Conference on Computer Vision and Pattern Recognition, CVPR 2017","id":"ITEM-1","issued":{"date-parts":[["2017"]]},"title":"Re-ranking person re-identification with k-reciprocal encoding","type":"paper-conference"},"uris":["http://www.mendeley.com/documents/?uuid=3fee11ed-f6a0-4c2d-9ddb-8820ee49e83c"]}],"mendeley":{"formattedCitation":"(Zhong &amp; Zheng, 2017)","plainTextFormattedCitation":"(Zhong &amp; Zheng, 2017)","previouslyFormattedCitation":"(Zhong &amp; Zheng, 2017)"},"properties":{"noteIndex":0},"schema":"https://github.com/citation-style-language/schema/raw/master/csl-citation.json"}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Zhong &amp; Zheng, 2017</w:t>
        </w:r>
      </w:hyperlink>
      <w:r w:rsidRPr="00067267">
        <w:rPr>
          <w:lang w:val="en-US"/>
        </w:rPr>
        <w:t>)</w:t>
      </w:r>
      <w:r w:rsidRPr="00067267">
        <w:rPr>
          <w:lang w:val="en-US"/>
        </w:rPr>
        <w:fldChar w:fldCharType="end"/>
      </w:r>
      <w:r w:rsidRPr="00067267">
        <w:rPr>
          <w:lang w:val="en-US"/>
        </w:rPr>
        <w:t xml:space="preserve">.The concept of disruptive technology was first coined by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{"citationItems":[{"id":"ITEM-1","itemData":{"ISBN":"0875845851","ISSN":"08884463","abstract":"What do the Honda Supercub, Intel's 8088 processor, and hydraulic excavators have in common? They are all examples of disruptive technologies that helped to redefine the competitive landscape of their respective markets. These products did not come about as the result of successful companies carrying out sound business practices in established markets. In The Innovator's Dilemma, author Clayton M. Christensen shows how these and other products cut into the low end of the marketplace and eventually evolved to displace high-end competitors and their reigning technologies. At the heart of The Innovator's Dilemma is how a successful company with established products keeps from being pushed aside by newer, cheaper products that will, over time, get better and become a serious threat. Christensen writes that even the best-managed companies, in spite of their attention to customers and continual investment in new technology, are susceptible to failure no matter what the industry, be it hard drives or consumer retailing. Succinct and clearly written, The Innovator's Dilemma is an important book that belongs on every manager's bookshelf. Highly recommended. -Harry C. Edwards In this revolutionary bestseller, Harvard professor Clayton M. Christensen says outstanding companies can do everything right and still lose their market leadership, or worse, disappear completely. And he not only proves what he says, he tells others how to avoid a similar fate.Focusing on \"disruptive technology\" of the Honda Supercub, Intel's 8088 processor, and the hydraulic excavator, Christensen shows why most companies miss \"the next great wave.\" Whether in electronics or retailing, a successful company with established products will get pushed aside unless managers know when to abandon traditional business practices. Using the lessons of successes and failures from leading companies, The Innovator's Dilemma presents a set of rules for capitalizing on the phenomenon of disruptive innovation. Revised, updated, and with a new chapter, this book continues to take the radical position that great companies can fail precisely because they do everything right. It demonstrates why outstanding companies lose their market leadership when confronted with disruptive technology-and it explains how to avoid a similar fate. Drawing on insights from a number of industries-such as the computer and disk drive industries, discount retailing, minimills, pharmaceuticals, and the automobile industry-Christen…","author":[{"dropping-particle":"","family":"Clayton M","given":"","non-dropping-particle":"","parse-names":false,"suffix":""}],"container-title":"Business","id":"ITEM-1","issued":{"date-parts":[["1997"]]},"title":"Innovator ’ s Dilemma","type":"book"},"uris":["http://www.mendeley.com/documents/?uuid=21e25cf1-3eba-4797-9999-3c5d5ccdef38"]}],"mendeley":{"formattedCitation":"(Clayton M, 1997)","manualFormatting":"Clayton M, (1997","plainTextFormattedCitation":"(Clayton M, 1997)","previouslyFormattedCitation":"(Clayton M, 1997)"},"properties":{"noteIndex":0},"schema":"https://github.com/citation-style-language/schema/raw/master/csl-citation.json"}</w:instrText>
        </w:r>
        <w:r w:rsidRPr="00067267">
          <w:rPr>
            <w:rStyle w:val="Hyperlink"/>
            <w:u w:val="none"/>
            <w:lang w:val="en-US"/>
          </w:rPr>
          <w:fldChar w:fldCharType="separate"/>
        </w:r>
        <w:r w:rsidR="00E15E33" w:rsidRPr="00067267">
          <w:rPr>
            <w:rFonts w:cs="Calibri"/>
            <w:noProof/>
            <w:color w:val="000000" w:themeColor="text1"/>
            <w:szCs w:val="24"/>
          </w:rPr>
          <w:t xml:space="preserve"> </w:t>
        </w:r>
        <w:r w:rsidR="00E15E33" w:rsidRPr="00067267">
          <w:rPr>
            <w:color w:val="0563C1"/>
          </w:rPr>
          <w:t>Christensen</w:t>
        </w:r>
        <w:r w:rsidR="00E15E33" w:rsidRPr="00067267">
          <w:rPr>
            <w:rStyle w:val="Hyperlink"/>
            <w:u w:val="none"/>
            <w:lang w:val="en-US"/>
          </w:rPr>
          <w:t xml:space="preserve"> </w:t>
        </w:r>
        <w:r w:rsidRPr="00067267">
          <w:rPr>
            <w:rStyle w:val="Hyperlink"/>
            <w:u w:val="none"/>
            <w:lang w:val="en-US"/>
          </w:rPr>
          <w:t>(1997</w:t>
        </w:r>
        <w:r w:rsidRPr="00067267">
          <w:rPr>
            <w:rStyle w:val="Hyperlink"/>
            <w:u w:val="none"/>
            <w:lang w:val="en-US"/>
          </w:rPr>
          <w:fldChar w:fldCharType="end"/>
        </w:r>
        <w:r w:rsidRPr="00067267">
          <w:rPr>
            <w:rStyle w:val="Hyperlink"/>
            <w:u w:val="none"/>
            <w:lang w:val="en-US"/>
          </w:rPr>
          <w:t>)</w:t>
        </w:r>
      </w:hyperlink>
      <w:r w:rsidRPr="00067267">
        <w:rPr>
          <w:lang w:val="en-US"/>
        </w:rPr>
        <w:t xml:space="preserve"> with the term Disruptive Innovation. A comprehensive model framework in integration of industrial technology is needed   recommends a model of technology that can be applied in the manufacturing industry </w:t>
      </w:r>
      <w:r w:rsidRPr="00067267">
        <w:rPr>
          <w:lang w:val="en-US"/>
        </w:rPr>
        <w:fldChar w:fldCharType="begin" w:fldLock="1"/>
      </w:r>
      <w:r w:rsidRPr="00067267">
        <w:rPr>
          <w:lang w:val="en-US"/>
        </w:rPr>
        <w:instrText>ADDIN CSL_CITATION {"citationItems":[{"id":"ITEM-1","itemData":{"DOI":"10.13140/RG.2.1.1205.8966","ISSN":"2405-8963","abstract":"Germany has one of the most competitive manufacturing industries in the world and is a global leader in the manufacturing equipment sector. This is in no small measure due to Germany’s specialisation in research, development and production of innovative manufacturing technologies and the management of complex industrial processes. Germany’s strong machinery and plant manufacturing industry, its globally significant level of IT competences and its know-how in embedded systems and automation engineering mean that it is extremely well placed to develop its position as a leader in the manufacturing engineering industry. Germany is thus uniquely positioned to tap into the potential of a new type of industrialisation: Industrie 4.0.","author":[{"dropping-particle":"","family":"Kagermann","given":"Henning","non-dropping-particle":"","parse-names":false,"suffix":""},{"dropping-particle":"","family":"Wahlster","given":"Wolfgang","non-dropping-particle":"","parse-names":false,"suffix":""},{"dropping-particle":"","family":"Helbig","given":"Johannes","non-dropping-particle":"","parse-names":false,"suffix":""}],"container-title":"Industrie","id":"ITEM-1","issued":{"date-parts":[["2013"]]},"title":"Recommendations for Implementing the Strategic Initiative INDUSTRIE 4.0 - Final Report of the Industrie 4.0 Working Group","type":"article-journal"},"uris":["http://www.mendeley.com/documents/?uuid=c657ff37-87fe-48c5-932f-5cb31055096a"]}],"mendeley":{"formattedCitation":"(Kagermann, Wahlster, &amp; Helbig, 2013)","manualFormatting":"(Kagermann et al, 2013)","plainTextFormattedCitation":"(Kagermann, Wahlster, &amp; Helbig, 2013)","previouslyFormattedCitation":"(Kagermann, Wahlster, &amp; Helbig, 2013)"},"properties":{"noteIndex":0},"schema":"https://github.com/citation-style-language/schema/raw/master/csl-citation.json"}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Kagermann et al</w:t>
        </w:r>
        <w:r w:rsidR="00B7180B" w:rsidRPr="00067267">
          <w:rPr>
            <w:rStyle w:val="Hyperlink"/>
            <w:u w:val="none"/>
            <w:lang w:val="en-US"/>
          </w:rPr>
          <w:t>.</w:t>
        </w:r>
        <w:r w:rsidRPr="00067267">
          <w:rPr>
            <w:rStyle w:val="Hyperlink"/>
            <w:u w:val="none"/>
            <w:lang w:val="en-US"/>
          </w:rPr>
          <w:t>, 2013</w:t>
        </w:r>
      </w:hyperlink>
      <w:r w:rsidRPr="00067267">
        <w:rPr>
          <w:lang w:val="en-US"/>
        </w:rPr>
        <w:t>)</w:t>
      </w:r>
      <w:r w:rsidRPr="00067267">
        <w:rPr>
          <w:lang w:val="en-US"/>
        </w:rPr>
        <w:fldChar w:fldCharType="end"/>
      </w:r>
      <w:r w:rsidRPr="00067267">
        <w:rPr>
          <w:lang w:val="en-US"/>
        </w:rPr>
        <w:t xml:space="preserve">. This has implications for the creation of values, business models, production cycles and a new organizational work culture </w:t>
      </w:r>
      <w:r w:rsidRPr="00067267">
        <w:rPr>
          <w:lang w:val="en-US"/>
        </w:rPr>
        <w:fldChar w:fldCharType="begin" w:fldLock="1"/>
      </w:r>
      <w:r w:rsidRPr="00067267">
        <w:rPr>
          <w:lang w:val="en-US"/>
        </w:rPr>
        <w:instrText>ADDIN CSL_CITATION {"citationItems":[{"id":"ITEM-1","itemData":{"DOI":"10.13140/RG.2.1.1205.8966","ISSN":"2405-8963","abstract":"Germany has one of the most competitive manufacturing industries in the world and is a global leader in the manufacturing equipment sector. This is in no small measure due to Germany’s specialisation in research, development and production of innovative manufacturing technologies and the management of complex industrial processes. Germany’s strong machinery and plant manufacturing industry, its globally significant level of IT competences and its know-how in embedded systems and automation engineering mean that it is extremely well placed to develop its position as a leader in the manufacturing engineering industry. Germany is thus uniquely positioned to tap into the potential of a new type of industrialisation: Industrie 4.0.","author":[{"dropping-particle":"","family":"Kagermann","given":"Henning","non-dropping-particle":"","parse-names":false,"suffix":""},{"dropping-particle":"","family":"Wahlster","given":"Wolfgang","non-dropping-particle":"","parse-names":false,"suffix":""},{"dropping-particle":"","family":"Helbig","given":"Johannes","non-dropping-particle":"","parse-names":false,"suffix":""}],"container-title":"Industrie","id":"ITEM-1","issued":{"date-parts":[["2013"]]},"title":"Recommendations for Implementing the Strategic Initiative INDUSTRIE 4.0 - Final Report of the Industrie 4.0 Working Group","type":"article-journal"},"uris":["http://www.mendeley.com/documents/?uuid=c657ff37-87fe-48c5-932f-5cb31055096a"]}],"mendeley":{"formattedCitation":"(Kagermann et al., 2013)","plainTextFormattedCitation":"(Kagermann et al., 2013)","previouslyFormattedCitation":"(Kagermann et al., 2013)"},"properties":{"noteIndex":0},"schema":"https://github.com/citation-style-language/schema/raw/master/csl-citation.json"}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Kagermann et al., 2013</w:t>
        </w:r>
      </w:hyperlink>
      <w:r w:rsidRPr="00067267">
        <w:rPr>
          <w:lang w:val="en-US"/>
        </w:rPr>
        <w:t>)</w:t>
      </w:r>
      <w:r w:rsidRPr="00067267">
        <w:rPr>
          <w:lang w:val="en-US"/>
        </w:rPr>
        <w:fldChar w:fldCharType="end"/>
      </w:r>
      <w:r w:rsidRPr="00067267">
        <w:rPr>
          <w:lang w:val="en-US"/>
        </w:rPr>
        <w:t>.</w:t>
      </w:r>
    </w:p>
    <w:p w:rsidR="00866B0F" w:rsidRPr="00067267" w:rsidRDefault="00866B0F" w:rsidP="00866B0F">
      <w:pPr>
        <w:spacing w:after="0" w:line="240" w:lineRule="auto"/>
        <w:ind w:firstLine="720"/>
        <w:jc w:val="both"/>
        <w:rPr>
          <w:lang w:val="en-US"/>
        </w:rPr>
      </w:pPr>
      <w:r w:rsidRPr="00067267">
        <w:rPr>
          <w:lang w:val="en-US"/>
        </w:rPr>
        <w:t xml:space="preserve">The industrial revolution 4.0 brings changes related to the implementation of the latest technology in various industrial processes. Technology appears as an innovation. The theory of innovation related to technology is the Diffusion of Innovations by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{"citationItems":[{"id":"ITEM-1","itemData":{"DOI":"citeulike-article-id:126680","ISBN":"0028740742","PMID":"3015015","abstract":"Rogers, Everett M. (1995): Diffusion of Innovation, The Free Press, 4. Auflage, New York, S.1-37","author":[{"dropping-particle":"","family":"Rogers","given":"Everett M.","non-dropping-particle":"","parse-names":false,"suffix":""}],"container-title":"Elements of Diffusion","id":"ITEM-1","issued":{"date-parts":[["1995"]]},"title":"Diffusion of Innovations, Fourth Edition","type":"book"},"uris":["http://www.mendeley.com/documents/?uuid=8aa3881b-a476-4bc8-bb4d-2512b3247c2c"]}],"mendeley":{"formattedCitation":"(Rogers, 1995)","manualFormatting":"Rogers, (1995)","plainTextFormattedCitation":"(Rogers, 1995)","previouslyFormattedCitation":"(Rogers, 1995)"},"properties":{"noteIndex":0},"schema":"https://github.com/citation-style-language/schema/raw/master/csl-citation.json"}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Rogers (1995)</w:t>
        </w:r>
        <w:r w:rsidRPr="00067267">
          <w:rPr>
            <w:rStyle w:val="Hyperlink"/>
            <w:u w:val="none"/>
            <w:lang w:val="en-US"/>
          </w:rPr>
          <w:fldChar w:fldCharType="end"/>
        </w:r>
      </w:hyperlink>
      <w:r w:rsidRPr="00067267">
        <w:rPr>
          <w:lang w:val="en-US"/>
        </w:rPr>
        <w:t>. The moderating variable in this study is used to see the impact arising from the implementation of technology integration 4.0 whether it can strengthen or weaken the occurrence of fraud in financial statements. The integration of technology in the industry is radical and fundamental and requires the development of a new system through several phases of trial and error which is prone to the risk of fraud and abuse. Therefore, information technology in the Fraud Triangle concept can be seen as a new opportunity and can trigger pressure so that fraud is occur.</w:t>
      </w:r>
    </w:p>
    <w:p w:rsidR="00866B0F" w:rsidRPr="00067267" w:rsidRDefault="00866B0F" w:rsidP="00866B0F">
      <w:pPr>
        <w:spacing w:after="0" w:line="240" w:lineRule="auto"/>
        <w:ind w:firstLine="720"/>
        <w:jc w:val="both"/>
        <w:rPr>
          <w:lang w:val="en-US"/>
        </w:rPr>
      </w:pPr>
      <w:r w:rsidRPr="00067267">
        <w:rPr>
          <w:lang w:val="en-US"/>
        </w:rPr>
        <w:t>On the other hand, industrial technology is a company advancement in being able to carry out supervision through the</w:t>
      </w:r>
      <w:r w:rsidR="003E3538" w:rsidRPr="00067267">
        <w:rPr>
          <w:lang w:val="en-US"/>
        </w:rPr>
        <w:t xml:space="preserve"> development of a more transpare</w:t>
      </w:r>
      <w:r w:rsidRPr="00067267">
        <w:rPr>
          <w:lang w:val="en-US"/>
        </w:rPr>
        <w:t xml:space="preserve">nt and efficient system. The success of implementing technology integration is the key point whether fraud will occur or not as preventive action. This success requires time and evaluation of improvements over time and research samples taken related to the Making Indonesia 4.0 program which was just initiated by the Government of the Republic of Indonesia in early 2018. </w:t>
      </w:r>
    </w:p>
    <w:p w:rsidR="00866B0F" w:rsidRPr="00067267" w:rsidRDefault="00866B0F" w:rsidP="00866B0F">
      <w:pPr>
        <w:spacing w:after="0" w:line="240" w:lineRule="auto"/>
        <w:ind w:firstLine="720"/>
        <w:jc w:val="both"/>
        <w:rPr>
          <w:lang w:val="en-US"/>
        </w:rPr>
      </w:pPr>
      <w:r w:rsidRPr="00067267">
        <w:rPr>
          <w:lang w:val="en-US"/>
        </w:rPr>
        <w:t xml:space="preserve">Integration of industry 4.0 technologies can be separated, at least into two different layers according to their main objective in the conceptual framework what we call as “front-end technologies which considers transformation of smart supply chain, smart working, smart manufacturing and smart product </w:t>
      </w:r>
      <w:r w:rsidRPr="00067267">
        <w:rPr>
          <w:lang w:val="en-US"/>
        </w:rPr>
        <w:fldChar w:fldCharType="begin" w:fldLock="1"/>
      </w:r>
      <w:r w:rsidRPr="00067267">
        <w:rPr>
          <w:lang w:val="en-US"/>
        </w:rPr>
        <w:instrText>ADDIN CSL_CITATION {"citationItems":[{"id":"ITEM-1","itemData":{"DOI":"10.1016/j.ijpe.2019.01.004","ISSN":"09255273","abstract":"Industry 4.0 has been considered a new industrial stage in which several emerging technologies are converging to provide digital solutions. However, there is a lack of understanding of how companies implement these technologies. Thus, we aim to understand the adoption patterns of Industry 4.0 technologies in manufacturing firms. We propose a conceptual framework for these technologies, which we divided into front-end and base technologies. Front-end technologies consider four dimensions: Smart Manufacturing, Smart Products, Smart Supply Chain and Smart Working, while base technologies consider four elements: internet of things, cloud services, big data and analytics. We performed a survey in 92 manufacturing companies to study the implementation of these technologies. Our findings show that Industry 4.0 is related to a systemic adoption of the front-end technologies, in which Smart Manufacturing plays a central role. Our results also show that the implementation of the base technologies is challenging companies, since big data and analytics are still low implemented in the sample studied. We propose a structure of Industry 4.0 technology layers and we show levels of adoption of these technologies and their implication for manufacturing companies.","author":[{"dropping-particle":"","family":"Germán","given":"Alejandro","non-dropping-particle":"","parse-names":false,"suffix":""},{"dropping-particle":"","family":"Dalenogare","given":"Lucas S","non-dropping-particle":"","parse-names":false,"suffix":""}],"container-title":"International Journal of Production Economics","id":"ITEM-1","issued":{"date-parts":[["2019"]]},"page":"15-26","title":"Industry 4.0 technologies: Implementation patterns in manufacturing companies","type":"article-journal","volume":"210"},"uris":["http://www.mendeley.com/documents/?uuid=ea3a2722-76e1-45f4-9b49-df78625512f2"]}],"mendeley":{"formattedCitation":"(Germán &amp; Dalenogare, 2019)","plainTextFormattedCitation":"(Germán &amp; Dalenogare, 2019)","previouslyFormattedCitation":"(Germán &amp; Dalenogare, 2019)"},"properties":{"noteIndex":0},"schema":"https://github.com/citation-style-language/schema/raw/master/csl-citation.json"}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Germán &amp; Dalenogare, 2019</w:t>
        </w:r>
      </w:hyperlink>
      <w:r w:rsidRPr="00067267">
        <w:rPr>
          <w:lang w:val="en-US"/>
        </w:rPr>
        <w:t>)</w:t>
      </w:r>
      <w:r w:rsidRPr="00067267">
        <w:rPr>
          <w:lang w:val="en-US"/>
        </w:rPr>
        <w:fldChar w:fldCharType="end"/>
      </w:r>
      <w:r w:rsidRPr="00067267">
        <w:rPr>
          <w:lang w:val="en-US"/>
        </w:rPr>
        <w:t xml:space="preserve">. The front layer relies “base technologies” consist of internet of things (IoT), cloud, big data and analytic which comprises technologies that provide connectivity and intelligence for front-end technologies. This base-technologies is the one which enables the industry 4.0 concept, differentiating this concept from previous industrial stage because base-technologies allow front-end technologies to be connected in a complete integrated manufacturing system </w:t>
      </w:r>
      <w:r w:rsidRPr="00067267">
        <w:rPr>
          <w:lang w:val="en-US"/>
        </w:rPr>
        <w:fldChar w:fldCharType="begin" w:fldLock="1"/>
      </w:r>
      <w:r w:rsidRPr="00067267">
        <w:rPr>
          <w:lang w:val="en-US"/>
        </w:rPr>
        <w:instrText>ADDIN CSL_CITATION {"citationItems":[{"id":"ITEM-1","itemData":{"author":[{"dropping-particle":"","family":"Tao","given":"F","non-dropping-particle":"","parse-names":false,"suffix":""},{"dropping-particle":"","family":"Cheng","given":"J","non-dropping-particle":"","parse-names":false,"suffix":""}],"container-title":"International journal Adv. Manufacturing Technologies","id":"ITEM-1","issue":"9-12","issued":{"date-parts":[["2018"]]},"page":"3563-3576","title":"Digital twin-driven product design, manufacturing and service with big data","type":"article-journal","volume":"94"},"uris":["http://www.mendeley.com/documents/?uuid=8afda9ee-9468-459d-8b50-a3026253e731"]}],"mendeley":{"formattedCitation":"(Tao &amp; Cheng, 2018)","manualFormatting":"(Tao &amp; Cheng, 2018","plainTextFormattedCitation":"(Tao &amp; Cheng, 2018)","previouslyFormattedCitation":"(Tao &amp; Cheng, 2018)"},"properties":{"noteIndex":0},"schema":"https://github.com/citation-style-language/schema/raw/master/csl-citation.json"}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Tao &amp; Cheng, 2018</w:t>
        </w:r>
      </w:hyperlink>
      <w:r w:rsidRPr="00067267">
        <w:rPr>
          <w:lang w:val="en-US"/>
        </w:rPr>
        <w:fldChar w:fldCharType="end"/>
      </w:r>
      <w:r w:rsidRPr="00067267">
        <w:rPr>
          <w:lang w:val="en-US"/>
        </w:rPr>
        <w:t xml:space="preserve">; </w:t>
      </w:r>
      <w:r w:rsidRPr="00067267">
        <w:rPr>
          <w:lang w:val="en-US"/>
        </w:rPr>
        <w:fldChar w:fldCharType="begin" w:fldLock="1"/>
      </w:r>
      <w:r w:rsidRPr="00067267">
        <w:rPr>
          <w:lang w:val="en-US"/>
        </w:rPr>
        <w:instrText>ADDIN CSL_CITATION {"citationItems":[{"id":"ITEM-1","itemData":{"author":[{"dropping-particle":"","family":"Thoben","given":"K.D","non-dropping-particle":"","parse-names":false,"suffix":""},{"dropping-particle":"","family":"Wiesner","given":"S","non-dropping-particle":"","parse-names":false,"suffix":""}],"container-title":"International journal Autom. Technologies","id":"ITEM-1","issue":"1","issued":{"date-parts":[["2017"]]},"title":"Industrie 4.0 and smart manufacturing-a review of research issues and application examples","type":"article-journal","volume":"11"},"uris":["http://www.mendeley.com/documents/?uuid=bc569ac3-335a-4a6c-acee-27d62b1d66c4"]}],"mendeley":{"formattedCitation":"(Thoben &amp; Wiesner, 2017)","manualFormatting":"Thoben &amp; Wiesner, 2017)","plainTextFormattedCitation":"(Thoben &amp; Wiesner, 2017)","previouslyFormattedCitation":"(Thoben &amp; Wiesner, 2017)"},"properties":{"noteIndex":0},"schema":"https://github.com/citation-style-language/schema/raw/master/csl-citation.json"}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Thoben &amp; Wiesner, 2017</w:t>
        </w:r>
      </w:hyperlink>
      <w:r w:rsidRPr="00067267">
        <w:rPr>
          <w:lang w:val="en-US"/>
        </w:rPr>
        <w:t>)</w:t>
      </w:r>
      <w:r w:rsidRPr="00067267">
        <w:rPr>
          <w:lang w:val="en-US"/>
        </w:rPr>
        <w:fldChar w:fldCharType="end"/>
      </w:r>
      <w:r w:rsidRPr="00067267">
        <w:rPr>
          <w:lang w:val="en-US"/>
        </w:rPr>
        <w:t xml:space="preserve">.  Base-technologies such as artificial intelligence (AI), big data and IoT can be obtained quickly, including in obtaining data because data is an important thing needed by humans to become </w:t>
      </w:r>
      <w:r w:rsidRPr="00067267">
        <w:rPr>
          <w:lang w:val="en-US"/>
        </w:rPr>
        <w:lastRenderedPageBreak/>
        <w:t xml:space="preserve">information in taking future steps </w:t>
      </w:r>
      <w:r w:rsidRPr="00067267">
        <w:rPr>
          <w:lang w:val="en-US"/>
        </w:rPr>
        <w:fldChar w:fldCharType="begin" w:fldLock="1"/>
      </w:r>
      <w:r w:rsidRPr="00067267">
        <w:rPr>
          <w:lang w:val="en-US"/>
        </w:rPr>
        <w:instrText>ADDIN CSL_CITATION {"citationItems":[{"id":"ITEM-1","itemData":{"author":[{"dropping-particle":"","family":"Bambang","given":"leo handoko","non-dropping-particle":"","parse-names":false,"suffix":""}],"container-title":"International journal of innovative Technology and Exploring Engineering","id":"ITEM-1","issue":"3","issued":{"date-parts":[["2020"]]},"title":"Big Data in Auditing for the Future of Data Driven Fraud Detection","type":"article-journal","volume":"9"},"uris":["http://www.mendeley.com/documents/?uuid=5aeff8bd-1452-44e0-ae84-c26ac78b6fde"]}],"mendeley":{"formattedCitation":"(Bambang, 2020)","plainTextFormattedCitation":"(Bambang, 2020)","previouslyFormattedCitation":"(Bambang, 2020)"},"properties":{"noteIndex":0},"schema":"https://github.com/citation-style-language/schema/raw/master/csl-citation.json"}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00C47FB4" w:rsidRPr="00067267">
          <w:rPr>
            <w:rStyle w:val="Hyperlink"/>
            <w:u w:val="none"/>
            <w:lang w:val="en-US"/>
          </w:rPr>
          <w:t>Handoko et al.,</w:t>
        </w:r>
        <w:r w:rsidRPr="00067267">
          <w:rPr>
            <w:rStyle w:val="Hyperlink"/>
            <w:u w:val="none"/>
            <w:lang w:val="en-US"/>
          </w:rPr>
          <w:t xml:space="preserve"> 2020</w:t>
        </w:r>
      </w:hyperlink>
      <w:r w:rsidRPr="00067267">
        <w:rPr>
          <w:lang w:val="en-US"/>
        </w:rPr>
        <w:t>)</w:t>
      </w:r>
      <w:r w:rsidRPr="00067267">
        <w:rPr>
          <w:lang w:val="en-US"/>
        </w:rPr>
        <w:fldChar w:fldCharType="end"/>
      </w:r>
      <w:r w:rsidRPr="00067267">
        <w:rPr>
          <w:lang w:val="en-US"/>
        </w:rPr>
        <w:t xml:space="preserve">. By using big data Intelligence analytics technology to combat fraud than business can identify fraud risk earlier or preventive fraud and easily uncover trends and patterns. </w:t>
      </w:r>
      <w:r w:rsidRPr="00067267">
        <w:rPr>
          <w:lang w:val="en-US"/>
        </w:rPr>
        <w:fldChar w:fldCharType="begin" w:fldLock="1"/>
      </w:r>
      <w:r w:rsidRPr="00067267">
        <w:rPr>
          <w:lang w:val="en-US"/>
        </w:rPr>
        <w:instrText>ADDIN CSL_CITATION {"citationItems":[{"id":"ITEM-1","itemData":{"author":[{"dropping-particle":"","family":"KPMG","given":"","non-dropping-particle":"","parse-names":false,"suffix":""}],"id":"ITEM-1","issued":{"date-parts":[["2013"]]},"publisher-place":"UK","title":"Fraud increase 38% to over 0.5bn but real cost is human misery","type":"report"},"uris":["http://www.mendeley.com/documents/?uuid=ef46296e-92e9-4bc6-8f8e-734eb24c585e"]}],"mendeley":{"formattedCitation":"(KPMG, 2013)","plainTextFormattedCitation":"(KPMG, 2013)","previouslyFormattedCitation":"(KPMG, 2013)"},"properties":{"noteIndex":0},"schema":"https://github.com/citation-style-language/schema/raw/master/csl-citation.json"}</w:instrText>
      </w:r>
      <w:r w:rsidRPr="00067267">
        <w:rPr>
          <w:lang w:val="en-US"/>
        </w:rPr>
        <w:fldChar w:fldCharType="separate"/>
      </w:r>
      <w:r w:rsidRPr="00067267">
        <w:rPr>
          <w:lang w:val="en-US"/>
        </w:rPr>
        <w:t>(KPMG, 2013)</w:t>
      </w:r>
      <w:r w:rsidRPr="00067267">
        <w:rPr>
          <w:lang w:val="en-US"/>
        </w:rPr>
        <w:fldChar w:fldCharType="end"/>
      </w:r>
      <w:r w:rsidRPr="00067267">
        <w:rPr>
          <w:lang w:val="en-US"/>
        </w:rPr>
        <w:t>.  A lot of obstacles when integrating data driven and analysis into audit, in spite of the fact that this is difficult to overcome. First, auditor need time to adjust to the new system and the level of user-friendly. Second, information sometimes over</w:t>
      </w:r>
      <w:r w:rsidR="00C47FB4" w:rsidRPr="00067267">
        <w:rPr>
          <w:lang w:val="en-US"/>
        </w:rPr>
        <w:t xml:space="preserve"> </w:t>
      </w:r>
      <w:r w:rsidRPr="00067267">
        <w:rPr>
          <w:lang w:val="en-US"/>
        </w:rPr>
        <w:t xml:space="preserve">load and get impact on auditor’s judgment skill in term of restrict the process of information. Whereas effective application of big data can reduce negative impact by providing more accurate and relevant information. Third, suitable of software that can handle analysis efficiently will be very expensive </w:t>
      </w:r>
      <w:r w:rsidR="003E3538" w:rsidRPr="00067267">
        <w:rPr>
          <w:lang w:val="en-US"/>
        </w:rPr>
        <w:t>(</w:t>
      </w:r>
      <w:r w:rsidRPr="00067267">
        <w:rPr>
          <w:lang w:val="en-US"/>
        </w:rPr>
        <w:fldChar w:fldCharType="begin" w:fldLock="1"/>
      </w:r>
      <w:r w:rsidRPr="00067267">
        <w:rPr>
          <w:lang w:val="en-US"/>
        </w:rPr>
        <w:instrText>ADDIN CSL_CITATION {"citationItems":[{"id":"ITEM-1","itemData":{"author":[{"dropping-particle":"","family":"Kim","given":"H.J","non-dropping-particle":"","parse-names":false,"suffix":""},{"dropping-particle":"","family":"Kotb","given":"A","non-dropping-particle":"","parse-names":false,"suffix":""},{"dropping-particle":"","family":"Eldaly","given":"M.K","non-dropping-particle":"","parse-names":false,"suffix":""}],"container-title":"J. Appl. Account","id":"ITEM-1","issue":"4","issued":{"date-parts":[["2016"]]},"page":"456-478","title":"The use of generalized audit software by Egyptian external auditors","type":"article-journal","volume":"17"},"uris":["http://www.mendeley.com/documents/?uuid=eecfafad-651b-46f6-a54e-4cf573a99cbb"]}],"mendeley":{"formattedCitation":"(Kim, Kotb, &amp; Eldaly, 2016)","plainTextFormattedCitation":"(Kim, Kotb, &amp; Eldaly, 2016)","previouslyFormattedCitation":"(Kim, Kotb, &amp; Eldaly, 2016)"},"properties":{"noteIndex":0},"schema":"https://github.com/citation-style-language/schema/raw/master/csl-citation.json"}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Kim, Kotb, &amp; Eldaly, 2016</w:t>
        </w:r>
      </w:hyperlink>
      <w:r w:rsidRPr="00067267">
        <w:rPr>
          <w:lang w:val="en-US"/>
        </w:rPr>
        <w:t>)</w:t>
      </w:r>
      <w:r w:rsidRPr="00067267">
        <w:rPr>
          <w:lang w:val="en-US"/>
        </w:rPr>
        <w:fldChar w:fldCharType="end"/>
      </w:r>
      <w:r w:rsidRPr="00067267">
        <w:rPr>
          <w:lang w:val="en-US"/>
        </w:rPr>
        <w:t>.</w:t>
      </w:r>
    </w:p>
    <w:p w:rsidR="00866B0F" w:rsidRPr="00067267" w:rsidRDefault="00866B0F" w:rsidP="00866B0F">
      <w:pPr>
        <w:spacing w:after="0" w:line="240" w:lineRule="auto"/>
        <w:ind w:firstLine="720"/>
        <w:jc w:val="both"/>
        <w:rPr>
          <w:lang w:val="en-US"/>
        </w:rPr>
      </w:pPr>
      <w:r w:rsidRPr="00067267">
        <w:rPr>
          <w:lang w:val="en-US"/>
        </w:rPr>
        <w:t xml:space="preserve">Previous studies of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{"citationItems":[{"id":"ITEM-1","itemData":{"abstract":"The purpose of this research is to examine the impact of information technology, accounting reporting toward fraud detection in companies that listed on Indonesia Stock Exchange. Baside that, this research to examine implication of fraund detection to investor reaction. The population of the study is the LQ 45 companis registered in the Indonesia Stock Exchange in the periode of 2010-2014. Shampling technique employed in this study is the purposive sampling whit the total sample of 90 companies The data analysis uses Amos software, The result of the study show yhat the dividend policy, information technology, accounting reporting have significant influence towards frund detection. The other result showed that fraund detection have significant influence towards investor reaction.","author":[{"dropping-particle":"","family":"Zanaria","given":"Yulita","non-dropping-particle":"","parse-names":false,"suffix":""}],"container-title":"jurnal Akuisisi","id":"ITEM-1","issue":"1","issued":{"date-parts":[["2017"]]},"page":"91-100","title":"Pengaruh Aplikasi Teknologi, accounting reporting Terhadap Pencegahan Fraud dan serta imlplikasinya terhadap reaksi investor","type":"article-journal","volume":"13"},"uris":["http://www.mendeley.com/documents/?uuid=ac5aa33c-b414-427d-8e33-803094a5620c"]}],"mendeley":{"formattedCitation":"(Zanaria, 2017)","manualFormatting":"Zanaria, (2017)","plainTextFormattedCitation":"(Zanaria, 2017)","previouslyFormattedCitation":"(Zanaria, 2017)"},"properties":{"noteIndex":0},"schema":"https://github.com/citation-style-language/schema/raw/master/csl-citation.json"}</w:instrText>
        </w:r>
        <w:r w:rsidRPr="00067267">
          <w:rPr>
            <w:rStyle w:val="Hyperlink"/>
            <w:u w:val="none"/>
            <w:lang w:val="en-US"/>
          </w:rPr>
          <w:fldChar w:fldCharType="separate"/>
        </w:r>
        <w:r w:rsidR="003E3538" w:rsidRPr="00067267">
          <w:rPr>
            <w:rStyle w:val="Hyperlink"/>
            <w:u w:val="none"/>
            <w:lang w:val="en-US"/>
          </w:rPr>
          <w:t>Zanaria</w:t>
        </w:r>
        <w:r w:rsidRPr="00067267">
          <w:rPr>
            <w:rStyle w:val="Hyperlink"/>
            <w:u w:val="none"/>
            <w:lang w:val="en-US"/>
          </w:rPr>
          <w:t xml:space="preserve"> (2017)</w:t>
        </w:r>
        <w:r w:rsidRPr="00067267">
          <w:rPr>
            <w:rStyle w:val="Hyperlink"/>
            <w:u w:val="none"/>
            <w:lang w:val="en-US"/>
          </w:rPr>
          <w:fldChar w:fldCharType="end"/>
        </w:r>
      </w:hyperlink>
      <w:r w:rsidRPr="00067267">
        <w:rPr>
          <w:lang w:val="en-US"/>
        </w:rPr>
        <w:t xml:space="preserve"> that information technology is systematic and integrated can narrow the gap of fraud while technology integration impacts on the performance of companies and the country because it raises concerns among workers about changes in work trends. Another study found that the threat of job loss among workers who are less adaptive to change can cause stress and life stress </w:t>
      </w:r>
      <w:r w:rsidR="003E3538" w:rsidRPr="00067267">
        <w:rPr>
          <w:lang w:val="en-US"/>
        </w:rPr>
        <w:t>(</w:t>
      </w:r>
      <w:r w:rsidRPr="00067267">
        <w:rPr>
          <w:lang w:val="en-US"/>
        </w:rPr>
        <w:fldChar w:fldCharType="begin" w:fldLock="1"/>
      </w:r>
      <w:r w:rsidRPr="00067267">
        <w:rPr>
          <w:lang w:val="en-US"/>
        </w:rPr>
        <w:instrText>ADDIN CSL_CITATION {"citationItems":[{"id":"ITEM-1","itemData":{"DOI":"10.1080/0097840x.1984.9934954","author":[{"dropping-particle":"","family":"Flemming R","given":"","non-dropping-particle":"","parse-names":false,"suffix":""},{"dropping-particle":"","family":"Baum","given":"","non-dropping-particle":"","parse-names":false,"suffix":""}],"container-title":"Human stress","id":"ITEM-1","issue":"1","issued":{"date-parts":[["1984"]]},"page":"12-17","title":"nd Unemployment StressBehavioral and Biochemical Effects of Job","type":"article-journal","volume":"10"},"uris":["http://www.mendeley.com/documents/?uuid=21308d17-eba3-4f32-a2fc-037ad6463bd9"]}],"mendeley":{"formattedCitation":"(Flemming R &amp; Baum, 1984)","plainTextFormattedCitation":"(Flemming R &amp; Baum, 1984)","previouslyFormattedCitation":"(Flemming R &amp; Baum, 1984)"},"properties":{"noteIndex":0},"schema":"https://github.com/citation-style-language/schema/raw/master/csl-citation.json"}</w:instrText>
      </w:r>
      <w:r w:rsidRPr="00067267">
        <w:rPr>
          <w:lang w:val="en-US"/>
        </w:rPr>
        <w:fldChar w:fldCharType="separate"/>
      </w:r>
      <w:hyperlink w:anchor="_References_1" w:history="1">
        <w:r w:rsidR="003E3538" w:rsidRPr="00067267">
          <w:rPr>
            <w:rStyle w:val="Hyperlink"/>
            <w:u w:val="none"/>
            <w:lang w:val="en-US"/>
          </w:rPr>
          <w:t>Flemming</w:t>
        </w:r>
        <w:r w:rsidRPr="00067267">
          <w:rPr>
            <w:rStyle w:val="Hyperlink"/>
            <w:u w:val="none"/>
            <w:lang w:val="en-US"/>
          </w:rPr>
          <w:t xml:space="preserve"> &amp; Baum, 1984</w:t>
        </w:r>
      </w:hyperlink>
      <w:r w:rsidRPr="00067267">
        <w:rPr>
          <w:lang w:val="en-US"/>
        </w:rPr>
        <w:t>)</w:t>
      </w:r>
      <w:r w:rsidRPr="00067267">
        <w:rPr>
          <w:lang w:val="en-US"/>
        </w:rPr>
        <w:fldChar w:fldCharType="end"/>
      </w:r>
      <w:r w:rsidRPr="00067267">
        <w:rPr>
          <w:lang w:val="en-US"/>
        </w:rPr>
        <w:t xml:space="preserve">. According to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{"citationItems":[{"id":"ITEM-1","itemData":{"DOI":"10.1037/1072-5245.12.4.409","ISSN":"10725245","abstract":"In this study (N = 16,001), the predictors of productivity (i.e., work performance) were investigated with A Shortened Stress Evaluation Tool (E. B. Faragher, C. L. Cooper, &amp; S. Cartwright, 2004), which incorporates individual work stressors, stress outcomes (physical and psychological wellbeing), and commitment (both to and from an organization). Psychological well-being, commitment from the organization to the employee, and resources were found to be predictive. Physical health, individual work stressors (with the exception of resources), and commitment from the employee to the organization were not identified as important. The findings are discussed with reference to both previous and future research. The large sample size and broad range of occupations included suggest the findings are generalizable to other employee groupings. Implications for both stress and management theory are discussed. Copyright 2005 by the Educational Publishing Foundation.","author":[{"dropping-particle":"","family":"Donald","given":"Ian","non-dropping-particle":"","parse-names":false,"suffix":""},{"dropping-particle":"","family":"Taylor","given":"Paul","non-dropping-particle":"","parse-names":false,"suffix":""},{"dropping-particle":"","family":"Johnson","given":"Sheena","non-dropping-particle":"","parse-names":false,"suffix":""},{"dropping-particle":"","family":"Cooper","given":"Cary","non-dropping-particle":"","parse-names":false,"suffix":""},{"dropping-particle":"","family":"Cartwright","given":"Susan","non-dropping-particle":"","parse-names":false,"suffix":""},{"dropping-particle":"","family":"Robertson","given":"Susannah","non-dropping-particle":"","parse-names":false,"suffix":""}],"container-title":"International Journal of Stress Management","id":"ITEM-1","issue":"4","issued":{"date-parts":[["2005"]]},"page":"409-423","title":"Work environments, stress, and productivity: An examination using ASSET","type":"article-journal","volume":"12"},"uris":["http://www.mendeley.com/documents/?uuid=bdc65efa-f0b0-4986-82eb-b2b9e7600c24"]}],"mendeley":{"formattedCitation":"(Donald et al., 2005)","manualFormatting":"Donald et al., (2005)","plainTextFormattedCitation":"(Donald et al., 2005)","previouslyFormattedCitation":"(Donald et al., 2005)"},"properties":{"noteIndex":0},"schema":"https://github.com/citation-style-language/schema/raw/master/csl-citation.json"}</w:instrText>
        </w:r>
        <w:r w:rsidRPr="00067267">
          <w:rPr>
            <w:rStyle w:val="Hyperlink"/>
            <w:u w:val="none"/>
            <w:lang w:val="en-US"/>
          </w:rPr>
          <w:fldChar w:fldCharType="separate"/>
        </w:r>
        <w:r w:rsidRPr="00067267">
          <w:rPr>
            <w:rStyle w:val="Hyperlink"/>
            <w:u w:val="none"/>
            <w:lang w:val="en-US"/>
          </w:rPr>
          <w:t>Donald et al., (2005)</w:t>
        </w:r>
        <w:r w:rsidRPr="00067267">
          <w:rPr>
            <w:rStyle w:val="Hyperlink"/>
            <w:u w:val="none"/>
            <w:lang w:val="en-US"/>
          </w:rPr>
          <w:fldChar w:fldCharType="end"/>
        </w:r>
      </w:hyperlink>
      <w:r w:rsidRPr="00067267">
        <w:rPr>
          <w:lang w:val="en-US"/>
        </w:rPr>
        <w:t xml:space="preserve"> in his research that in addition psychological stress is the strongest predictor causing productivity to decrease  and pressure can trigger certain parties to finally commit fraud </w:t>
      </w:r>
      <w:r w:rsidRPr="00067267">
        <w:rPr>
          <w:lang w:val="en-US"/>
        </w:rPr>
        <w:fldChar w:fldCharType="begin" w:fldLock="1"/>
      </w:r>
      <w:r w:rsidRPr="00067267">
        <w:rPr>
          <w:lang w:val="en-US"/>
        </w:rPr>
        <w:instrText>ADDIN CSL_CITATION {"citationItems":[{"id":"ITEM-1","itemData":{"abstract":"The adoption of personalized learning at scale requires major changes in how teachers and others in the system operate. Accomplishing this goal will require supportive systemic change grounded in a clear instructional vision. Below are a set of principles we believe are critical to making this happen.","author":[{"dropping-particle":"","family":"Rawson","given":"G","non-dropping-particle":"","parse-names":false,"suffix":""},{"dropping-particle":"","family":"Sarak","given":"J","non-dropping-particle":"","parse-names":false,"suffix":""},{"dropping-particle":"","family":"Scott","given":"D","non-dropping-particle":"","parse-names":false,"suffix":""}],"container-title":"Mc Kinsey &amp; Company","id":"ITEM-1","issued":{"date-parts":[["2016"]]},"title":"How to scale personalized learning | McKinsey","type":"report"},"uris":["http://www.mendeley.com/documents/?uuid=871f0fa6-f65a-4d20-b523-3390a1dabae1"]}],"mendeley":{"formattedCitation":"(Rawson, Sarak, &amp; Scott, 2016)","plainTextFormattedCitation":"(Rawson, Sarak, &amp; Scott, 2016)","previouslyFormattedCitation":"(Rawson, Sarak, &amp; Scott, 2016)"},"properties":{"noteIndex":0},"schema":"https://github.com/citation-style-language/schema/raw/master/csl-citation.json"}</w:instrText>
      </w:r>
      <w:r w:rsidRPr="00067267">
        <w:rPr>
          <w:lang w:val="en-US"/>
        </w:rPr>
        <w:fldChar w:fldCharType="separate"/>
      </w:r>
      <w:r w:rsidR="003E3538" w:rsidRPr="00067267">
        <w:rPr>
          <w:lang w:val="en-US"/>
        </w:rPr>
        <w:t>(</w:t>
      </w:r>
      <w:hyperlink w:anchor="_References_1" w:history="1">
        <w:r w:rsidR="003E3538" w:rsidRPr="00067267">
          <w:rPr>
            <w:rStyle w:val="Hyperlink"/>
            <w:u w:val="none"/>
            <w:lang w:val="en-US"/>
          </w:rPr>
          <w:t xml:space="preserve">Rawson et al., </w:t>
        </w:r>
        <w:r w:rsidRPr="00067267">
          <w:rPr>
            <w:rStyle w:val="Hyperlink"/>
            <w:u w:val="none"/>
            <w:lang w:val="en-US"/>
          </w:rPr>
          <w:t>2016</w:t>
        </w:r>
      </w:hyperlink>
      <w:r w:rsidRPr="00067267">
        <w:rPr>
          <w:lang w:val="en-US"/>
        </w:rPr>
        <w:t>)</w:t>
      </w:r>
      <w:r w:rsidRPr="00067267">
        <w:rPr>
          <w:lang w:val="en-US"/>
        </w:rPr>
        <w:fldChar w:fldCharType="end"/>
      </w:r>
      <w:r w:rsidRPr="00067267">
        <w:rPr>
          <w:lang w:val="en-US"/>
        </w:rPr>
        <w:t>.</w:t>
      </w:r>
    </w:p>
    <w:p w:rsidR="00866B0F" w:rsidRPr="00067267" w:rsidRDefault="00866B0F" w:rsidP="00866B0F">
      <w:pPr>
        <w:spacing w:after="0" w:line="240" w:lineRule="auto"/>
        <w:ind w:firstLine="720"/>
        <w:jc w:val="both"/>
        <w:rPr>
          <w:lang w:val="en-US"/>
        </w:rPr>
      </w:pPr>
      <w:r w:rsidRPr="00067267">
        <w:rPr>
          <w:lang w:val="en-US"/>
        </w:rPr>
        <w:t xml:space="preserve">The successful implementation of industrial technology 4.0 in a company is a key point whether fraud will occur or vice versa or even not affect at all </w:t>
      </w:r>
      <w:r w:rsidRPr="00067267">
        <w:rPr>
          <w:lang w:val="en-US"/>
        </w:rPr>
        <w:fldChar w:fldCharType="begin" w:fldLock="1"/>
      </w:r>
      <w:r w:rsidRPr="00067267">
        <w:rPr>
          <w:lang w:val="en-US"/>
        </w:rPr>
        <w:instrText>ADDIN CSL_CITATION {"citationItems":[{"id":"ITEM-1","itemData":{"DOI":"10.1016/S1353-4858(13)70135-1","ISSN":"13534858","abstract":"Call it a 'scam', 'rip-off', 'cheat' or 'sting', but whatever you call it the impact of fraud hits businesses equally hard. And the bad news is that the number of fraud cases is not falling but rising. Fraud hits businesses hard. And the bad news is that the number of fraud cases is rising. The pressure is on for companies to find effective solutions and tackle fraud in a smarter way. Shaun Hipgrave of IBM explores three aspects of smarter fraud investigations: smarter technology, improved data visualisation and better internal communication. And a critical element in this is using big data analytics to detect fraud fast and share critical investigative information. © 2013 Elsevier Ltd.","author":[{"dropping-particle":"","family":"Hipgrave","given":"Shaun","non-dropping-particle":"","parse-names":false,"suffix":""}],"container-title":"Network Security","id":"ITEM-1","issue":"12","issued":{"date-parts":[["2013"]]},"page":"7-9","title":"Smarter fraud investigations with big data analytics","type":"article-journal","volume":"2013"},"uris":["http://www.mendeley.com/documents/?uuid=5a7f28e7-ec0d-4a5d-aaff-1f420e80f039"]}],"mendeley":{"formattedCitation":"(Hipgrave, 2013)","plainTextFormattedCitation":"(Hipgrave, 2013)","previouslyFormattedCitation":"(Hipgrave, 2013)"},"properties":{"noteIndex":0},"schema":"https://github.com/citation-style-language/schema/raw/master/csl-citation.json"}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Hipgrave, 2013</w:t>
        </w:r>
      </w:hyperlink>
      <w:r w:rsidRPr="00067267">
        <w:rPr>
          <w:lang w:val="en-US"/>
        </w:rPr>
        <w:t>)</w:t>
      </w:r>
      <w:r w:rsidRPr="00067267">
        <w:rPr>
          <w:lang w:val="en-US"/>
        </w:rPr>
        <w:fldChar w:fldCharType="end"/>
      </w:r>
      <w:r w:rsidRPr="00067267">
        <w:rPr>
          <w:lang w:val="en-US"/>
        </w:rPr>
        <w:t>.  Refer to the discussion above, the hypothesis is formulated as follows:</w:t>
      </w:r>
    </w:p>
    <w:p w:rsidR="00866B0F" w:rsidRPr="00067267" w:rsidRDefault="00866B0F" w:rsidP="00866B0F">
      <w:pPr>
        <w:spacing w:after="0" w:line="240" w:lineRule="auto"/>
        <w:ind w:left="270" w:hanging="270"/>
        <w:jc w:val="both"/>
        <w:rPr>
          <w:lang w:val="en-US"/>
        </w:rPr>
      </w:pPr>
      <w:r w:rsidRPr="00067267">
        <w:rPr>
          <w:lang w:val="en-US"/>
        </w:rPr>
        <w:t>H</w:t>
      </w:r>
      <w:r w:rsidRPr="00067267">
        <w:rPr>
          <w:vertAlign w:val="subscript"/>
          <w:lang w:val="en-US"/>
        </w:rPr>
        <w:t>6</w:t>
      </w:r>
      <w:r w:rsidRPr="00067267">
        <w:rPr>
          <w:lang w:val="en-US"/>
        </w:rPr>
        <w:t>: Industrial technology 4.0 can moderate the fraud triangle against fraudulent financial statements.</w:t>
      </w:r>
    </w:p>
    <w:p w:rsidR="00866B0F" w:rsidRPr="00067267" w:rsidRDefault="00866B0F" w:rsidP="00866B0F">
      <w:pPr>
        <w:spacing w:after="0" w:line="240" w:lineRule="auto"/>
        <w:ind w:firstLine="720"/>
        <w:jc w:val="both"/>
        <w:rPr>
          <w:lang w:val="en-US"/>
        </w:rPr>
      </w:pPr>
      <w:r w:rsidRPr="00067267">
        <w:rPr>
          <w:lang w:val="en-US"/>
        </w:rPr>
        <w:t xml:space="preserve">This research is different from previous studies </w:t>
      </w:r>
      <w:r w:rsidRPr="00067267">
        <w:rPr>
          <w:lang w:val="en-US"/>
        </w:rPr>
        <w:fldChar w:fldCharType="begin" w:fldLock="1"/>
      </w:r>
      <w:r w:rsidRPr="00067267">
        <w:rPr>
          <w:lang w:val="en-US"/>
        </w:rPr>
        <w:instrText>ADDIN CSL_CITATION {"citationItems":[{"id":"ITEM-1","itemData":{"author":[{"dropping-particle":"","family":"Singleton","given":"Tommie W.","non-dropping-particle":"","parse-names":false,"suffix":""}],"id":"ITEM-1","issued":{"date-parts":[["2010"]]},"publisher":"John Willey &amp; Sons","publisher-place":"New Jersey","title":"Fraud Accounting &amp; Forensic Accounting","type":"book"},"uris":["http://www.mendeley.com/documents/?uuid=e18b72d7-1e5c-464a-abea-20883a3568ac"]}],"mendeley":{"formattedCitation":"(Singleton, 2010)","plainTextFormattedCitation":"(Singleton, 2010)","previouslyFormattedCitation":"(Singleton, 2010)"},"properties":{"noteIndex":0},"schema":"https://github.com/citation-style-language/schema/raw/master/csl-citation.json"}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Singleton, 2010</w:t>
        </w:r>
      </w:hyperlink>
      <w:r w:rsidRPr="00067267">
        <w:rPr>
          <w:lang w:val="en-US"/>
        </w:rPr>
        <w:t>)</w:t>
      </w:r>
      <w:r w:rsidRPr="00067267">
        <w:rPr>
          <w:lang w:val="en-US"/>
        </w:rPr>
        <w:fldChar w:fldCharType="end"/>
      </w:r>
      <w:r w:rsidRPr="00067267">
        <w:rPr>
          <w:lang w:val="en-US"/>
        </w:rPr>
        <w:t xml:space="preserve">; </w:t>
      </w:r>
      <w:r w:rsidR="003E3538" w:rsidRPr="00067267">
        <w:rPr>
          <w:lang w:val="en-US"/>
        </w:rPr>
        <w:t>(</w:t>
      </w:r>
      <w:r w:rsidRPr="00067267">
        <w:rPr>
          <w:lang w:val="en-US"/>
        </w:rPr>
        <w:fldChar w:fldCharType="begin" w:fldLock="1"/>
      </w:r>
      <w:r w:rsidRPr="00067267">
        <w:rPr>
          <w:lang w:val="en-US"/>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Returns","type":"article-journal"},"uris":["http://www.mendeley.com/documents/?uuid=4a893f5e-cb3b-4912-a9a7-59e35d8086dc"]}],"mendeley":{"formattedCitation":"(M. Beneish, Lee, &amp; Nichols, 2012)","manualFormatting":"(Beneish, et al 2012)","plainTextFormattedCitation":"(M. Beneish, Lee, &amp; Nichols, 2012)","previouslyFormattedCitation":"(M. Beneish, Lee, &amp; Nichols, 2012)"},"properties":{"noteIndex":0},"schema":"https://github.com/citation-style-language/schema/raw/master/csl-citation.json"}</w:instrText>
      </w:r>
      <w:r w:rsidRPr="00067267">
        <w:rPr>
          <w:lang w:val="en-US"/>
        </w:rPr>
        <w:fldChar w:fldCharType="separate"/>
      </w:r>
      <w:hyperlink w:anchor="_References_1" w:history="1">
        <w:r w:rsidRPr="00067267">
          <w:rPr>
            <w:rStyle w:val="Hyperlink"/>
            <w:u w:val="none"/>
            <w:lang w:val="en-US"/>
          </w:rPr>
          <w:t>Beneish, et al 2012</w:t>
        </w:r>
      </w:hyperlink>
      <w:r w:rsidRPr="00067267">
        <w:rPr>
          <w:lang w:val="en-US"/>
        </w:rPr>
        <w:t>)</w:t>
      </w:r>
      <w:r w:rsidRPr="00067267">
        <w:rPr>
          <w:lang w:val="en-US"/>
        </w:rPr>
        <w:fldChar w:fldCharType="end"/>
      </w:r>
      <w:r w:rsidRPr="00067267">
        <w:rPr>
          <w:lang w:val="en-US"/>
        </w:rPr>
        <w:t xml:space="preserve">; </w:t>
      </w:r>
      <w:r w:rsidRPr="00067267">
        <w:rPr>
          <w:lang w:val="en-US"/>
        </w:rPr>
        <w:fldChar w:fldCharType="begin" w:fldLock="1"/>
      </w:r>
      <w:r w:rsidRPr="00067267">
        <w:rPr>
          <w:lang w:val="en-US"/>
        </w:rPr>
        <w:instrText>ADDIN CSL_CITATION {"citationItems":[{"id":"ITEM-1","itemData":{"DOI":"10.14414/tiar.v9i2.1632","ISSN":"2086-3802","abstract":"This study aimed to analyze the factors used to detect financial statement fraud from a fraud diamond perspective. It tried to find out the effect of pressure proxied by financial targets, opportunity proxied by ineffective monitoring, rationalization proxied by change in auditors, and capability proxied by director change on financial statement fraud. It used 36 mining companies listed on the Indonesia Stock Exchange (IDX) period 2014-2016 as the sample. This sample was taken using a purposive sampling technique and data analysis were analyzed using multiple linear regression. The results indicate that pressure proxied by financial targets and rationalization proxied by change in auditors have an effect on financial statement fraud, whereas opportunity proxied by ineffective monitoring and capability proxied by replacement of directors have no effect on financial statement fraud.","author":[{"dropping-particle":"","family":"Noble","given":"Muara Rizqulloh","non-dropping-particle":"","parse-names":false,"suffix":""}],"container-title":"The Indonesian Accounting Review","id":"ITEM-1","issued":{"date-parts":[["2019"]]},"title":"Fraud diamond analysis in detecting financial statement fraud","type":"article-journal"},"uris":["http://www.mendeley.com/documents/?uuid=9aa0495d-9ca1-4a38-87d9-37a0f5004f45"]}],"mendeley":{"formattedCitation":"(Noble, 2019)","plainTextFormattedCitation":"(Noble, 2019)","previouslyFormattedCitation":"(Noble, 2019)"},"properties":{"noteIndex":0},"schema":"https://github.com/citation-style-language/schema/raw/master/csl-citation.json"}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Noble, 2019</w:t>
        </w:r>
      </w:hyperlink>
      <w:r w:rsidRPr="00067267">
        <w:rPr>
          <w:lang w:val="en-US"/>
        </w:rPr>
        <w:t>)</w:t>
      </w:r>
      <w:r w:rsidRPr="00067267">
        <w:rPr>
          <w:lang w:val="en-US"/>
        </w:rPr>
        <w:fldChar w:fldCharType="end"/>
      </w:r>
      <w:r w:rsidRPr="00067267">
        <w:rPr>
          <w:lang w:val="en-US"/>
        </w:rPr>
        <w:t xml:space="preserve"> because first, using the phenomenon of Industrial Revolution 4.0 as a moderating variable where with the integration of technology 4.0 can strengthen or weaken the occurrence of fraud against financial statements. Modern technology in industrial revolution 4.0 with using of big data wil</w:t>
      </w:r>
      <w:r w:rsidR="003E3538" w:rsidRPr="00067267">
        <w:rPr>
          <w:lang w:val="en-US"/>
        </w:rPr>
        <w:t>l make the system more transpare</w:t>
      </w:r>
      <w:r w:rsidRPr="00067267">
        <w:rPr>
          <w:lang w:val="en-US"/>
        </w:rPr>
        <w:t xml:space="preserve">nt but the presence of new gaps due to the transformation of the system and changes in the business environment invites the Fraud Triangle element so that it triggers fraudulent on financial reporting. Second, using the Beneish M-Score model in this model as a financial forensic tool to gauge potential fraudulent financial reporting. </w:t>
      </w:r>
    </w:p>
    <w:p w:rsidR="00A16D61" w:rsidRPr="00067267" w:rsidRDefault="00866B0F" w:rsidP="00866B0F">
      <w:pPr>
        <w:spacing w:after="0" w:line="240" w:lineRule="auto"/>
        <w:ind w:firstLine="720"/>
        <w:jc w:val="both"/>
        <w:rPr>
          <w:color w:val="000000"/>
          <w:lang w:val="en-US"/>
        </w:rPr>
      </w:pPr>
      <w:r w:rsidRPr="00067267">
        <w:rPr>
          <w:lang w:val="en-US"/>
        </w:rPr>
        <w:t>This study is important because the application of industrial technology can trigger the elements of the fraud triangle both partially and simultaneously so that it can have negative and positive impacts that can influence fraudulent financial reporting. Companies that have implemented industrial technology must review the new system, upgrade and evaluate the existing system, assessing the effectiveness and strength of existing systems to prevent loopholes for new fraud through the application of technology based on the use of big data and IoT.</w:t>
      </w:r>
    </w:p>
    <w:p w:rsidR="004E0439" w:rsidRPr="00067267" w:rsidRDefault="004E0439" w:rsidP="00FC41C2">
      <w:pPr>
        <w:spacing w:after="0" w:line="240" w:lineRule="auto"/>
        <w:jc w:val="both"/>
        <w:rPr>
          <w:color w:val="000000"/>
          <w:lang w:val="en-US"/>
        </w:rPr>
      </w:pPr>
    </w:p>
    <w:p w:rsidR="00B3490B" w:rsidRPr="00067267" w:rsidRDefault="000342EA" w:rsidP="00093A1F">
      <w:pPr>
        <w:spacing w:after="0" w:line="240" w:lineRule="auto"/>
        <w:rPr>
          <w:rFonts w:cs="Calibri"/>
          <w:b/>
          <w:sz w:val="28"/>
          <w:lang w:val="en-US"/>
        </w:rPr>
      </w:pPr>
      <w:r w:rsidRPr="00067267">
        <w:rPr>
          <w:rFonts w:cs="Calibri"/>
          <w:b/>
          <w:sz w:val="28"/>
          <w:lang w:val="en-US"/>
        </w:rPr>
        <w:t>Research Method</w:t>
      </w:r>
      <w:r w:rsidR="00AB4D1A" w:rsidRPr="00067267">
        <w:rPr>
          <w:rFonts w:cs="Calibri"/>
          <w:b/>
          <w:sz w:val="28"/>
          <w:lang w:val="en-US"/>
        </w:rPr>
        <w:t xml:space="preserve"> </w:t>
      </w:r>
    </w:p>
    <w:p w:rsidR="00866B0F" w:rsidRPr="00067267" w:rsidRDefault="00866B0F" w:rsidP="00866B0F">
      <w:pPr>
        <w:spacing w:after="0"/>
        <w:jc w:val="both"/>
        <w:rPr>
          <w:rFonts w:cs="Calibri"/>
          <w:lang w:val="en-US"/>
        </w:rPr>
      </w:pPr>
      <w:r w:rsidRPr="00067267">
        <w:rPr>
          <w:rFonts w:cs="Calibri"/>
          <w:lang w:val="en-US"/>
        </w:rPr>
        <w:t>This research use</w:t>
      </w:r>
      <w:r w:rsidR="003E3538" w:rsidRPr="00067267">
        <w:rPr>
          <w:rFonts w:cs="Calibri"/>
          <w:lang w:val="en-US"/>
        </w:rPr>
        <w:t>d</w:t>
      </w:r>
      <w:r w:rsidRPr="00067267">
        <w:rPr>
          <w:rFonts w:cs="Calibri"/>
          <w:lang w:val="en-US"/>
        </w:rPr>
        <w:t xml:space="preserve"> secondary data and quantitative data. The population in this study are manufacturing companies listed on the Indonesia Stock Exchange in the 2015-2018 period. The samples taken from five manufacturing subsectors in Making Indonesia 4.0 program consist of food &amp; beverages, textile &amp; garments, automotive &amp; components, electronic and chemical industries. Making Indonesia 4.0 program is used to implement </w:t>
      </w:r>
      <w:r w:rsidRPr="00067267">
        <w:rPr>
          <w:rFonts w:cs="Calibri"/>
          <w:lang w:val="en-US"/>
        </w:rPr>
        <w:lastRenderedPageBreak/>
        <w:t>strategies as well as guidelines for the roadmap developing of industrial revolution 4.0 in Indonesia, especially providing opportunities to revitalize Indonesia's manufacturing sector. This study use</w:t>
      </w:r>
      <w:r w:rsidR="003E3538" w:rsidRPr="00067267">
        <w:rPr>
          <w:rFonts w:cs="Calibri"/>
          <w:lang w:val="en-US"/>
        </w:rPr>
        <w:t>d</w:t>
      </w:r>
      <w:r w:rsidRPr="00067267">
        <w:rPr>
          <w:rFonts w:cs="Calibri"/>
          <w:lang w:val="en-US"/>
        </w:rPr>
        <w:t xml:space="preserve"> purposive sampling method. Sampling criteria is a manufacturing company incorporated in the five sectors Making Indonesia 4.0 in Indonesia Stock Exchange, which regularly publish financial reports on the company's website and the Indonesia Stock Exchange and using IDR (rupiah) as the currency in their reporting. Total samples are 29 companies from 56 population</w:t>
      </w:r>
      <w:r w:rsidR="003E3538" w:rsidRPr="00067267">
        <w:rPr>
          <w:rFonts w:cs="Calibri"/>
          <w:lang w:val="en-US"/>
        </w:rPr>
        <w:t>s</w:t>
      </w:r>
      <w:r w:rsidRPr="00067267">
        <w:rPr>
          <w:rFonts w:cs="Calibri"/>
          <w:lang w:val="en-US"/>
        </w:rPr>
        <w:t xml:space="preserve"> and the total unit observations are 116.</w:t>
      </w:r>
    </w:p>
    <w:p w:rsidR="000D55BD" w:rsidRPr="00067267" w:rsidRDefault="00866B0F" w:rsidP="00866B0F">
      <w:pPr>
        <w:spacing w:after="0"/>
        <w:ind w:firstLine="720"/>
        <w:jc w:val="both"/>
        <w:rPr>
          <w:rFonts w:cs="Calibri"/>
          <w:lang w:val="en-US"/>
        </w:rPr>
      </w:pPr>
      <w:r w:rsidRPr="00067267">
        <w:rPr>
          <w:rFonts w:cs="Calibri"/>
          <w:lang w:val="en-US"/>
        </w:rPr>
        <w:t>The research model for analyzing the influence of independent variables is a logistic regression model. Logistic regression analysis in this study is used because the normal multivariate assumption cannot be fulfilled because the independent variable is a mixture of metric and non-metric variables. In addition, the dependent variable in this study is categorical data or dummy (</w:t>
      </w:r>
      <w:hyperlink w:anchor="_References_1" w:history="1">
        <w:r w:rsidRPr="00067267">
          <w:rPr>
            <w:rStyle w:val="Hyperlink"/>
            <w:rFonts w:cs="Calibri"/>
            <w:u w:val="none"/>
            <w:lang w:val="en-US"/>
          </w:rPr>
          <w:t>Ghozali, 2016</w:t>
        </w:r>
      </w:hyperlink>
      <w:r w:rsidRPr="00067267">
        <w:rPr>
          <w:rFonts w:cs="Calibri"/>
          <w:lang w:val="en-US"/>
        </w:rPr>
        <w:t>). To test the moderating variable and answer the 6th hypothesis, subgroup analysis tests will be used (</w:t>
      </w:r>
      <w:hyperlink w:anchor="_References_1" w:history="1">
        <w:r w:rsidRPr="00067267">
          <w:rPr>
            <w:rStyle w:val="Hyperlink"/>
            <w:rFonts w:cs="Calibri"/>
            <w:u w:val="none"/>
            <w:lang w:val="en-US"/>
          </w:rPr>
          <w:t>Sugiyono</w:t>
        </w:r>
        <w:r w:rsidR="003E3538" w:rsidRPr="00067267">
          <w:rPr>
            <w:rStyle w:val="Hyperlink"/>
            <w:rFonts w:cs="Calibri"/>
            <w:u w:val="none"/>
            <w:lang w:val="en-US"/>
          </w:rPr>
          <w:t>,</w:t>
        </w:r>
        <w:r w:rsidRPr="00067267">
          <w:rPr>
            <w:rStyle w:val="Hyperlink"/>
            <w:rFonts w:cs="Calibri"/>
            <w:u w:val="none"/>
            <w:lang w:val="en-US"/>
          </w:rPr>
          <w:t xml:space="preserve"> 2004</w:t>
        </w:r>
      </w:hyperlink>
      <w:r w:rsidRPr="00067267">
        <w:rPr>
          <w:rFonts w:cs="Calibri"/>
          <w:lang w:val="en-US"/>
        </w:rPr>
        <w:t>). To test the hypothesis, it uses logistic regression because it is related to the form of the dependent variable which is dichotomous without using moderation. Meanwhile, to test the moderating variables used subgroup analysis.</w:t>
      </w:r>
    </w:p>
    <w:p w:rsidR="000D55BD" w:rsidRPr="00067267" w:rsidRDefault="000D55BD" w:rsidP="00866B0F">
      <w:pPr>
        <w:pStyle w:val="ListParagraph"/>
        <w:ind w:left="0" w:firstLine="720"/>
        <w:jc w:val="both"/>
        <w:rPr>
          <w:rFonts w:cs="Calibri"/>
          <w:lang w:val="en-US"/>
        </w:rPr>
      </w:pPr>
      <w:r w:rsidRPr="00067267">
        <w:rPr>
          <w:rFonts w:cs="Calibri"/>
          <w:lang w:val="en-US"/>
        </w:rPr>
        <w:t>There are 2 logistic regression models that are used to test hypotheses related to the factors that influence fraudulent on financial reporting</w:t>
      </w:r>
    </w:p>
    <w:p w:rsidR="000D55BD" w:rsidRPr="00067267" w:rsidRDefault="000D55BD" w:rsidP="00A16D61">
      <w:pPr>
        <w:pStyle w:val="ListParagraph"/>
        <w:tabs>
          <w:tab w:val="left" w:leader="dot" w:pos="7380"/>
        </w:tabs>
        <w:rPr>
          <w:rFonts w:asciiTheme="minorHAnsi" w:hAnsiTheme="minorHAnsi" w:cstheme="minorHAnsi"/>
          <w:lang w:val="en-US"/>
        </w:rPr>
      </w:pPr>
      <w:r w:rsidRPr="00067267">
        <w:rPr>
          <w:rFonts w:asciiTheme="minorHAnsi" w:hAnsiTheme="minorHAnsi" w:cstheme="minorHAnsi"/>
          <w:lang w:val="en-US"/>
        </w:rPr>
        <w:t>Ln</w:t>
      </w:r>
      <m:oMath>
        <m:r>
          <m:rPr>
            <m:sty m:val="p"/>
          </m:rPr>
          <w:rPr>
            <w:rFonts w:ascii="Cambria Math" w:eastAsia="Calibri" w:hAnsi="Cambria Math" w:cstheme="minorHAnsi"/>
            <w:lang w:val="en-US"/>
          </w:rPr>
          <m:t>=</m:t>
        </m:r>
        <m:f>
          <m:fPr>
            <m:ctrlPr>
              <w:rPr>
                <w:rFonts w:ascii="Cambria Math" w:eastAsia="Calibri" w:hAnsi="Cambria Math" w:cstheme="minorHAnsi"/>
                <w:lang w:val="en-US"/>
              </w:rPr>
            </m:ctrlPr>
          </m:fPr>
          <m:num>
            <m:r>
              <m:rPr>
                <m:nor/>
              </m:rPr>
              <w:rPr>
                <w:rFonts w:asciiTheme="minorHAnsi" w:eastAsia="Calibri" w:hAnsiTheme="minorHAnsi" w:cstheme="minorHAnsi"/>
                <w:lang w:val="en-US"/>
              </w:rPr>
              <m:t>Fraud</m:t>
            </m:r>
          </m:num>
          <m:den>
            <m:r>
              <m:rPr>
                <m:nor/>
              </m:rPr>
              <w:rPr>
                <w:rFonts w:asciiTheme="minorHAnsi" w:eastAsia="Calibri" w:hAnsiTheme="minorHAnsi" w:cstheme="minorHAnsi"/>
                <w:lang w:val="en-US"/>
              </w:rPr>
              <m:t>1-Fraud</m:t>
            </m:r>
          </m:den>
        </m:f>
      </m:oMath>
      <w:r w:rsidRPr="00067267">
        <w:rPr>
          <w:rFonts w:asciiTheme="minorHAnsi" w:hAnsiTheme="minorHAnsi" w:cstheme="minorHAnsi"/>
          <w:lang w:val="en-US"/>
        </w:rPr>
        <w:t xml:space="preserve">   = α + β</w:t>
      </w:r>
      <w:r w:rsidRPr="00067267">
        <w:rPr>
          <w:rFonts w:asciiTheme="minorHAnsi" w:hAnsiTheme="minorHAnsi" w:cstheme="minorHAnsi"/>
          <w:vertAlign w:val="subscript"/>
          <w:lang w:val="en-US"/>
        </w:rPr>
        <w:t>1</w:t>
      </w:r>
      <w:r w:rsidRPr="00067267">
        <w:rPr>
          <w:rFonts w:asciiTheme="minorHAnsi" w:hAnsiTheme="minorHAnsi" w:cstheme="minorHAnsi"/>
          <w:lang w:val="en-US"/>
        </w:rPr>
        <w:t>X</w:t>
      </w:r>
      <w:r w:rsidRPr="00067267">
        <w:rPr>
          <w:rFonts w:asciiTheme="minorHAnsi" w:hAnsiTheme="minorHAnsi" w:cstheme="minorHAnsi"/>
          <w:vertAlign w:val="subscript"/>
          <w:lang w:val="en-US"/>
        </w:rPr>
        <w:t>1</w:t>
      </w:r>
      <w:r w:rsidRPr="00067267">
        <w:rPr>
          <w:rFonts w:asciiTheme="minorHAnsi" w:hAnsiTheme="minorHAnsi" w:cstheme="minorHAnsi"/>
          <w:lang w:val="en-US"/>
        </w:rPr>
        <w:t xml:space="preserve"> + β</w:t>
      </w:r>
      <w:r w:rsidRPr="00067267">
        <w:rPr>
          <w:rFonts w:asciiTheme="minorHAnsi" w:hAnsiTheme="minorHAnsi" w:cstheme="minorHAnsi"/>
          <w:vertAlign w:val="subscript"/>
          <w:lang w:val="en-US"/>
        </w:rPr>
        <w:t>2</w:t>
      </w:r>
      <w:r w:rsidRPr="00067267">
        <w:rPr>
          <w:rFonts w:asciiTheme="minorHAnsi" w:hAnsiTheme="minorHAnsi" w:cstheme="minorHAnsi"/>
          <w:lang w:val="en-US"/>
        </w:rPr>
        <w:t>X</w:t>
      </w:r>
      <w:r w:rsidRPr="00067267">
        <w:rPr>
          <w:rFonts w:asciiTheme="minorHAnsi" w:hAnsiTheme="minorHAnsi" w:cstheme="minorHAnsi"/>
          <w:vertAlign w:val="subscript"/>
          <w:lang w:val="en-US"/>
        </w:rPr>
        <w:t xml:space="preserve">2 </w:t>
      </w:r>
      <w:r w:rsidRPr="00067267">
        <w:rPr>
          <w:rFonts w:asciiTheme="minorHAnsi" w:hAnsiTheme="minorHAnsi" w:cstheme="minorHAnsi"/>
          <w:lang w:val="en-US"/>
        </w:rPr>
        <w:t>+ β</w:t>
      </w:r>
      <w:r w:rsidRPr="00067267">
        <w:rPr>
          <w:rFonts w:asciiTheme="minorHAnsi" w:hAnsiTheme="minorHAnsi" w:cstheme="minorHAnsi"/>
          <w:vertAlign w:val="subscript"/>
          <w:lang w:val="en-US"/>
        </w:rPr>
        <w:t>3</w:t>
      </w:r>
      <w:r w:rsidRPr="00067267">
        <w:rPr>
          <w:rFonts w:asciiTheme="minorHAnsi" w:hAnsiTheme="minorHAnsi" w:cstheme="minorHAnsi"/>
          <w:lang w:val="en-US"/>
        </w:rPr>
        <w:t>X</w:t>
      </w:r>
      <w:r w:rsidRPr="00067267">
        <w:rPr>
          <w:rFonts w:asciiTheme="minorHAnsi" w:hAnsiTheme="minorHAnsi" w:cstheme="minorHAnsi"/>
          <w:vertAlign w:val="subscript"/>
          <w:lang w:val="en-US"/>
        </w:rPr>
        <w:t>3</w:t>
      </w:r>
      <w:r w:rsidRPr="00067267">
        <w:rPr>
          <w:rFonts w:asciiTheme="minorHAnsi" w:hAnsiTheme="minorHAnsi" w:cstheme="minorHAnsi"/>
          <w:lang w:val="en-US"/>
        </w:rPr>
        <w:t xml:space="preserve"> + β</w:t>
      </w:r>
      <w:r w:rsidRPr="00067267">
        <w:rPr>
          <w:rFonts w:asciiTheme="minorHAnsi" w:hAnsiTheme="minorHAnsi" w:cstheme="minorHAnsi"/>
          <w:vertAlign w:val="subscript"/>
          <w:lang w:val="en-US"/>
        </w:rPr>
        <w:t>4</w:t>
      </w:r>
      <w:r w:rsidRPr="00067267">
        <w:rPr>
          <w:rFonts w:asciiTheme="minorHAnsi" w:hAnsiTheme="minorHAnsi" w:cstheme="minorHAnsi"/>
          <w:lang w:val="en-US"/>
        </w:rPr>
        <w:t>X</w:t>
      </w:r>
      <w:r w:rsidRPr="00067267">
        <w:rPr>
          <w:rFonts w:asciiTheme="minorHAnsi" w:hAnsiTheme="minorHAnsi" w:cstheme="minorHAnsi"/>
          <w:vertAlign w:val="subscript"/>
          <w:lang w:val="en-US"/>
        </w:rPr>
        <w:t>4</w:t>
      </w:r>
      <w:r w:rsidRPr="00067267">
        <w:rPr>
          <w:rFonts w:asciiTheme="minorHAnsi" w:hAnsiTheme="minorHAnsi" w:cstheme="minorHAnsi"/>
          <w:lang w:val="en-US"/>
        </w:rPr>
        <w:t xml:space="preserve"> + β</w:t>
      </w:r>
      <w:r w:rsidRPr="00067267">
        <w:rPr>
          <w:rFonts w:asciiTheme="minorHAnsi" w:hAnsiTheme="minorHAnsi" w:cstheme="minorHAnsi"/>
          <w:vertAlign w:val="subscript"/>
          <w:lang w:val="en-US"/>
        </w:rPr>
        <w:t>5</w:t>
      </w:r>
      <w:r w:rsidRPr="00067267">
        <w:rPr>
          <w:rFonts w:asciiTheme="minorHAnsi" w:hAnsiTheme="minorHAnsi" w:cstheme="minorHAnsi"/>
          <w:lang w:val="en-US"/>
        </w:rPr>
        <w:t>X</w:t>
      </w:r>
      <w:r w:rsidRPr="00067267">
        <w:rPr>
          <w:rFonts w:asciiTheme="minorHAnsi" w:hAnsiTheme="minorHAnsi" w:cstheme="minorHAnsi"/>
          <w:vertAlign w:val="subscript"/>
          <w:lang w:val="en-US"/>
        </w:rPr>
        <w:t>5</w:t>
      </w:r>
      <w:r w:rsidRPr="00067267">
        <w:rPr>
          <w:rFonts w:asciiTheme="minorHAnsi" w:hAnsiTheme="minorHAnsi" w:cstheme="minorHAnsi"/>
          <w:lang w:val="en-US"/>
        </w:rPr>
        <w:t xml:space="preserve"> +ε </w:t>
      </w:r>
      <w:r w:rsidR="00A16D61" w:rsidRPr="00067267">
        <w:rPr>
          <w:rFonts w:asciiTheme="minorHAnsi" w:hAnsiTheme="minorHAnsi" w:cstheme="minorHAnsi"/>
          <w:lang w:val="en-US"/>
        </w:rPr>
        <w:tab/>
      </w:r>
      <w:r w:rsidRPr="00067267">
        <w:rPr>
          <w:rFonts w:asciiTheme="minorHAnsi" w:hAnsiTheme="minorHAnsi" w:cstheme="minorHAnsi"/>
          <w:lang w:val="en-US"/>
        </w:rPr>
        <w:t>(1)</w:t>
      </w:r>
    </w:p>
    <w:p w:rsidR="00A16D61" w:rsidRPr="00067267" w:rsidRDefault="00A16D61" w:rsidP="00A16D61">
      <w:pPr>
        <w:pStyle w:val="ListParagraph"/>
        <w:tabs>
          <w:tab w:val="left" w:leader="dot" w:pos="7380"/>
        </w:tabs>
        <w:rPr>
          <w:rFonts w:asciiTheme="minorHAnsi" w:hAnsiTheme="minorHAnsi" w:cstheme="minorHAnsi"/>
          <w:lang w:val="en-US"/>
        </w:rPr>
      </w:pPr>
    </w:p>
    <w:p w:rsidR="000D55BD" w:rsidRPr="00067267" w:rsidRDefault="000D55BD" w:rsidP="00A16D61">
      <w:pPr>
        <w:pStyle w:val="ListParagraph"/>
        <w:tabs>
          <w:tab w:val="left" w:leader="dot" w:pos="7380"/>
        </w:tabs>
        <w:rPr>
          <w:rFonts w:cs="Calibri"/>
          <w:lang w:val="en-US"/>
        </w:rPr>
      </w:pPr>
      <w:r w:rsidRPr="00067267">
        <w:rPr>
          <w:rFonts w:asciiTheme="minorHAnsi" w:hAnsiTheme="minorHAnsi" w:cstheme="minorHAnsi"/>
          <w:lang w:val="en-US"/>
        </w:rPr>
        <w:t>Ln</w:t>
      </w:r>
      <m:oMath>
        <m:r>
          <m:rPr>
            <m:sty m:val="p"/>
          </m:rPr>
          <w:rPr>
            <w:rFonts w:ascii="Cambria Math" w:eastAsia="Calibri" w:hAnsi="Cambria Math" w:cstheme="minorHAnsi"/>
            <w:lang w:val="en-US"/>
          </w:rPr>
          <m:t>=</m:t>
        </m:r>
        <m:f>
          <m:fPr>
            <m:ctrlPr>
              <w:rPr>
                <w:rFonts w:ascii="Cambria Math" w:eastAsia="Calibri" w:hAnsi="Cambria Math" w:cstheme="minorHAnsi"/>
                <w:lang w:val="en-US"/>
              </w:rPr>
            </m:ctrlPr>
          </m:fPr>
          <m:num>
            <m:r>
              <m:rPr>
                <m:nor/>
              </m:rPr>
              <w:rPr>
                <w:rFonts w:asciiTheme="minorHAnsi" w:eastAsia="Calibri" w:hAnsiTheme="minorHAnsi" w:cstheme="minorHAnsi"/>
                <w:lang w:val="en-US"/>
              </w:rPr>
              <m:t>Fraud</m:t>
            </m:r>
          </m:num>
          <m:den>
            <m:r>
              <m:rPr>
                <m:nor/>
              </m:rPr>
              <w:rPr>
                <w:rFonts w:asciiTheme="minorHAnsi" w:eastAsia="Calibri" w:hAnsiTheme="minorHAnsi" w:cstheme="minorHAnsi"/>
                <w:lang w:val="en-US"/>
              </w:rPr>
              <m:t>1-Fraud</m:t>
            </m:r>
          </m:den>
        </m:f>
      </m:oMath>
      <w:r w:rsidRPr="00067267">
        <w:rPr>
          <w:rFonts w:asciiTheme="minorHAnsi" w:hAnsiTheme="minorHAnsi" w:cstheme="minorHAnsi"/>
          <w:lang w:val="en-US"/>
        </w:rPr>
        <w:t xml:space="preserve">   = βo +</w:t>
      </w:r>
      <w:r w:rsidRPr="00067267">
        <w:rPr>
          <w:rFonts w:cs="Calibri"/>
          <w:lang w:val="en-US"/>
        </w:rPr>
        <w:t xml:space="preserve"> β</w:t>
      </w:r>
      <w:r w:rsidRPr="00067267">
        <w:rPr>
          <w:rFonts w:cs="Calibri"/>
          <w:vertAlign w:val="subscript"/>
          <w:lang w:val="en-US"/>
        </w:rPr>
        <w:t>1</w:t>
      </w:r>
      <w:r w:rsidRPr="00067267">
        <w:rPr>
          <w:rFonts w:cs="Calibri"/>
          <w:lang w:val="en-US"/>
        </w:rPr>
        <w:t>X</w:t>
      </w:r>
      <w:r w:rsidRPr="00067267">
        <w:rPr>
          <w:rFonts w:cs="Calibri"/>
          <w:vertAlign w:val="subscript"/>
          <w:lang w:val="en-US"/>
        </w:rPr>
        <w:t>1</w:t>
      </w:r>
      <w:r w:rsidRPr="00067267">
        <w:rPr>
          <w:rFonts w:cs="Calibri"/>
          <w:lang w:val="en-US"/>
        </w:rPr>
        <w:t xml:space="preserve"> + β</w:t>
      </w:r>
      <w:r w:rsidRPr="00067267">
        <w:rPr>
          <w:rFonts w:cs="Calibri"/>
          <w:vertAlign w:val="subscript"/>
          <w:lang w:val="en-US"/>
        </w:rPr>
        <w:t>2</w:t>
      </w:r>
      <w:r w:rsidRPr="00067267">
        <w:rPr>
          <w:rFonts w:cs="Calibri"/>
          <w:lang w:val="en-US"/>
        </w:rPr>
        <w:t>X</w:t>
      </w:r>
      <w:r w:rsidRPr="00067267">
        <w:rPr>
          <w:rFonts w:cs="Calibri"/>
          <w:vertAlign w:val="subscript"/>
          <w:lang w:val="en-US"/>
        </w:rPr>
        <w:t xml:space="preserve">2 </w:t>
      </w:r>
      <w:r w:rsidRPr="00067267">
        <w:rPr>
          <w:rFonts w:cs="Calibri"/>
          <w:lang w:val="en-US"/>
        </w:rPr>
        <w:t>+ β</w:t>
      </w:r>
      <w:r w:rsidRPr="00067267">
        <w:rPr>
          <w:rFonts w:cs="Calibri"/>
          <w:vertAlign w:val="subscript"/>
          <w:lang w:val="en-US"/>
        </w:rPr>
        <w:t>3</w:t>
      </w:r>
      <w:r w:rsidRPr="00067267">
        <w:rPr>
          <w:rFonts w:cs="Calibri"/>
          <w:lang w:val="en-US"/>
        </w:rPr>
        <w:t>X</w:t>
      </w:r>
      <w:r w:rsidRPr="00067267">
        <w:rPr>
          <w:rFonts w:cs="Calibri"/>
          <w:vertAlign w:val="subscript"/>
          <w:lang w:val="en-US"/>
        </w:rPr>
        <w:t>3</w:t>
      </w:r>
      <w:r w:rsidRPr="00067267">
        <w:rPr>
          <w:rFonts w:cs="Calibri"/>
          <w:lang w:val="en-US"/>
        </w:rPr>
        <w:t xml:space="preserve"> + β</w:t>
      </w:r>
      <w:r w:rsidRPr="00067267">
        <w:rPr>
          <w:rFonts w:cs="Calibri"/>
          <w:vertAlign w:val="subscript"/>
          <w:lang w:val="en-US"/>
        </w:rPr>
        <w:t>4</w:t>
      </w:r>
      <w:r w:rsidRPr="00067267">
        <w:rPr>
          <w:rFonts w:cs="Calibri"/>
          <w:lang w:val="en-US"/>
        </w:rPr>
        <w:t>X</w:t>
      </w:r>
      <w:r w:rsidRPr="00067267">
        <w:rPr>
          <w:rFonts w:cs="Calibri"/>
          <w:vertAlign w:val="subscript"/>
          <w:lang w:val="en-US"/>
        </w:rPr>
        <w:t>4</w:t>
      </w:r>
      <w:r w:rsidRPr="00067267">
        <w:rPr>
          <w:rFonts w:cs="Calibri"/>
          <w:lang w:val="en-US"/>
        </w:rPr>
        <w:t xml:space="preserve"> + β</w:t>
      </w:r>
      <w:r w:rsidRPr="00067267">
        <w:rPr>
          <w:rFonts w:cs="Calibri"/>
          <w:vertAlign w:val="subscript"/>
          <w:lang w:val="en-US"/>
        </w:rPr>
        <w:t>5</w:t>
      </w:r>
      <w:r w:rsidRPr="00067267">
        <w:rPr>
          <w:rFonts w:cs="Calibri"/>
          <w:lang w:val="en-US"/>
        </w:rPr>
        <w:t>X</w:t>
      </w:r>
      <w:r w:rsidRPr="00067267">
        <w:rPr>
          <w:rFonts w:cs="Calibri"/>
          <w:vertAlign w:val="subscript"/>
          <w:lang w:val="en-US"/>
        </w:rPr>
        <w:t>5</w:t>
      </w:r>
      <w:r w:rsidRPr="00067267">
        <w:rPr>
          <w:rFonts w:cs="Calibri"/>
          <w:lang w:val="en-US"/>
        </w:rPr>
        <w:t xml:space="preserve"> + β</w:t>
      </w:r>
      <w:r w:rsidRPr="00067267">
        <w:rPr>
          <w:rFonts w:cs="Calibri"/>
          <w:vertAlign w:val="subscript"/>
          <w:lang w:val="en-US"/>
        </w:rPr>
        <w:t>6</w:t>
      </w:r>
      <w:r w:rsidRPr="00067267">
        <w:rPr>
          <w:rFonts w:cs="Calibri"/>
          <w:lang w:val="en-US"/>
        </w:rPr>
        <w:t>Z</w:t>
      </w:r>
      <w:r w:rsidR="00A16D61" w:rsidRPr="00067267">
        <w:rPr>
          <w:rFonts w:cs="Calibri"/>
          <w:lang w:val="en-US"/>
        </w:rPr>
        <w:tab/>
      </w:r>
      <w:r w:rsidRPr="00067267">
        <w:rPr>
          <w:rFonts w:cs="Calibri"/>
          <w:lang w:val="en-US"/>
        </w:rPr>
        <w:t>(</w:t>
      </w:r>
      <w:r w:rsidR="00A16D61" w:rsidRPr="00067267">
        <w:rPr>
          <w:rFonts w:cs="Calibri"/>
          <w:lang w:val="en-US"/>
        </w:rPr>
        <w:t>2</w:t>
      </w:r>
      <w:r w:rsidRPr="00067267">
        <w:rPr>
          <w:rFonts w:cs="Calibri"/>
          <w:lang w:val="en-US"/>
        </w:rPr>
        <w:t>)</w:t>
      </w:r>
    </w:p>
    <w:p w:rsidR="000D55BD" w:rsidRPr="00067267" w:rsidRDefault="000D55BD" w:rsidP="00A16D61">
      <w:pPr>
        <w:tabs>
          <w:tab w:val="left" w:leader="dot" w:pos="7371"/>
        </w:tabs>
        <w:ind w:left="1800"/>
        <w:rPr>
          <w:rFonts w:cs="Calibri"/>
          <w:lang w:val="en-US"/>
        </w:rPr>
      </w:pPr>
      <w:r w:rsidRPr="00067267">
        <w:rPr>
          <w:rFonts w:cs="Calibri"/>
          <w:lang w:val="en-US"/>
        </w:rPr>
        <w:t xml:space="preserve">   + β</w:t>
      </w:r>
      <w:r w:rsidRPr="00067267">
        <w:rPr>
          <w:rFonts w:cs="Calibri"/>
          <w:vertAlign w:val="subscript"/>
          <w:lang w:val="en-US"/>
        </w:rPr>
        <w:t>7</w:t>
      </w:r>
      <w:r w:rsidRPr="00067267">
        <w:rPr>
          <w:rFonts w:cs="Calibri"/>
          <w:lang w:val="en-US"/>
        </w:rPr>
        <w:t>X</w:t>
      </w:r>
      <w:r w:rsidRPr="00067267">
        <w:rPr>
          <w:rFonts w:cs="Calibri"/>
          <w:vertAlign w:val="subscript"/>
          <w:lang w:val="en-US"/>
        </w:rPr>
        <w:t xml:space="preserve">1 </w:t>
      </w:r>
      <w:r w:rsidRPr="00067267">
        <w:rPr>
          <w:rFonts w:cs="Calibri"/>
          <w:lang w:val="en-US"/>
        </w:rPr>
        <w:t>*X</w:t>
      </w:r>
      <w:r w:rsidRPr="00067267">
        <w:rPr>
          <w:rFonts w:cs="Calibri"/>
          <w:vertAlign w:val="subscript"/>
          <w:lang w:val="en-US"/>
        </w:rPr>
        <w:t>2</w:t>
      </w:r>
      <w:r w:rsidRPr="00067267">
        <w:rPr>
          <w:rFonts w:cs="Calibri"/>
          <w:lang w:val="en-US"/>
        </w:rPr>
        <w:t xml:space="preserve"> *X</w:t>
      </w:r>
      <w:r w:rsidRPr="00067267">
        <w:rPr>
          <w:rFonts w:cs="Calibri"/>
          <w:vertAlign w:val="subscript"/>
          <w:lang w:val="en-US"/>
        </w:rPr>
        <w:t xml:space="preserve">3 </w:t>
      </w:r>
      <w:r w:rsidRPr="00067267">
        <w:rPr>
          <w:rFonts w:cs="Calibri"/>
          <w:lang w:val="en-US"/>
        </w:rPr>
        <w:t>*X</w:t>
      </w:r>
      <w:r w:rsidRPr="00067267">
        <w:rPr>
          <w:rFonts w:cs="Calibri"/>
          <w:vertAlign w:val="subscript"/>
          <w:lang w:val="en-US"/>
        </w:rPr>
        <w:t>4</w:t>
      </w:r>
      <w:r w:rsidRPr="00067267">
        <w:rPr>
          <w:rFonts w:cs="Calibri"/>
          <w:lang w:val="en-US"/>
        </w:rPr>
        <w:t xml:space="preserve"> * X</w:t>
      </w:r>
      <w:r w:rsidRPr="00067267">
        <w:rPr>
          <w:rFonts w:cs="Calibri"/>
          <w:vertAlign w:val="subscript"/>
          <w:lang w:val="en-US"/>
        </w:rPr>
        <w:t>5 *</w:t>
      </w:r>
      <w:r w:rsidRPr="00067267">
        <w:rPr>
          <w:rFonts w:cs="Calibri"/>
          <w:lang w:val="en-US"/>
        </w:rPr>
        <w:t>Z</w:t>
      </w:r>
      <w:r w:rsidRPr="00067267">
        <w:rPr>
          <w:rFonts w:cs="Calibri"/>
          <w:vertAlign w:val="subscript"/>
          <w:lang w:val="en-US"/>
        </w:rPr>
        <w:t xml:space="preserve"> </w:t>
      </w:r>
      <w:r w:rsidRPr="00067267">
        <w:rPr>
          <w:rFonts w:cs="Calibri"/>
          <w:lang w:val="en-US"/>
        </w:rPr>
        <w:t xml:space="preserve">+ε  </w:t>
      </w:r>
      <w:r w:rsidR="00A16D61" w:rsidRPr="00067267">
        <w:rPr>
          <w:rFonts w:cs="Calibri"/>
          <w:lang w:val="en-US"/>
        </w:rPr>
        <w:tab/>
      </w:r>
      <w:r w:rsidRPr="00067267">
        <w:rPr>
          <w:rFonts w:cs="Calibri"/>
          <w:lang w:val="en-US"/>
        </w:rPr>
        <w:t>(</w:t>
      </w:r>
      <w:r w:rsidR="00A16D61" w:rsidRPr="00067267">
        <w:rPr>
          <w:rFonts w:cs="Calibri"/>
          <w:lang w:val="en-US"/>
        </w:rPr>
        <w:t>3</w:t>
      </w:r>
      <w:r w:rsidRPr="00067267">
        <w:rPr>
          <w:rFonts w:cs="Calibri"/>
          <w:lang w:val="en-US"/>
        </w:rPr>
        <w:t>)</w:t>
      </w:r>
      <w:r w:rsidR="00A16D61" w:rsidRPr="00067267">
        <w:rPr>
          <w:rFonts w:cs="Calibri"/>
          <w:lang w:val="en-US"/>
        </w:rPr>
        <w:t xml:space="preserve">   </w:t>
      </w:r>
    </w:p>
    <w:p w:rsidR="000D55BD" w:rsidRPr="00067267" w:rsidRDefault="00A16D61" w:rsidP="000D55BD">
      <w:pPr>
        <w:pStyle w:val="ListParagraph"/>
        <w:ind w:left="0"/>
        <w:rPr>
          <w:rFonts w:cs="Calibri"/>
          <w:lang w:val="en-US"/>
        </w:rPr>
      </w:pPr>
      <w:r w:rsidRPr="00067267">
        <w:rPr>
          <w:rFonts w:cs="Calibri"/>
          <w:lang w:val="en-US"/>
        </w:rPr>
        <w:t>Information:</w:t>
      </w:r>
    </w:p>
    <w:p w:rsidR="000D55BD" w:rsidRPr="00067267" w:rsidRDefault="000D55BD" w:rsidP="00A16D61">
      <w:pPr>
        <w:pStyle w:val="ListParagraph"/>
        <w:ind w:left="2160" w:hanging="2160"/>
        <w:jc w:val="both"/>
        <w:rPr>
          <w:rFonts w:cs="Calibri"/>
          <w:lang w:val="en-US"/>
        </w:rPr>
      </w:pPr>
      <w:r w:rsidRPr="00067267">
        <w:rPr>
          <w:rFonts w:cs="Calibri"/>
          <w:lang w:val="en-US"/>
        </w:rPr>
        <w:t>Ln</w:t>
      </w:r>
      <m:oMath>
        <m:r>
          <m:rPr>
            <m:sty m:val="p"/>
          </m:rPr>
          <w:rPr>
            <w:rFonts w:ascii="Cambria Math" w:eastAsia="Calibri" w:hAnsi="Cambria Math" w:cs="Calibri"/>
            <w:lang w:val="en-US"/>
          </w:rPr>
          <m:t>=</m:t>
        </m:r>
        <m:f>
          <m:fPr>
            <m:ctrlPr>
              <w:rPr>
                <w:rFonts w:ascii="Cambria Math" w:eastAsia="Calibri" w:hAnsi="Cambria Math" w:cs="Calibri"/>
                <w:lang w:val="en-US"/>
              </w:rPr>
            </m:ctrlPr>
          </m:fPr>
          <m:num>
            <m:r>
              <m:rPr>
                <m:nor/>
              </m:rPr>
              <w:rPr>
                <w:rFonts w:eastAsia="Calibri" w:cs="Calibri"/>
                <w:lang w:val="en-US"/>
              </w:rPr>
              <m:t>Fraud</m:t>
            </m:r>
          </m:num>
          <m:den>
            <m:r>
              <m:rPr>
                <m:nor/>
              </m:rPr>
              <w:rPr>
                <w:rFonts w:eastAsia="Calibri" w:cs="Calibri"/>
                <w:lang w:val="en-US"/>
              </w:rPr>
              <m:t>1-Fraud</m:t>
            </m:r>
          </m:den>
        </m:f>
      </m:oMath>
      <w:r w:rsidRPr="00067267">
        <w:rPr>
          <w:rFonts w:cs="Calibri"/>
          <w:lang w:val="en-US"/>
        </w:rPr>
        <w:t xml:space="preserve">     </w:t>
      </w:r>
      <w:r w:rsidR="00A16D61" w:rsidRPr="00067267">
        <w:rPr>
          <w:rFonts w:cs="Calibri"/>
          <w:lang w:val="en-US"/>
        </w:rPr>
        <w:tab/>
      </w:r>
      <w:r w:rsidRPr="00067267">
        <w:rPr>
          <w:rFonts w:cs="Calibri"/>
          <w:lang w:val="en-US"/>
        </w:rPr>
        <w:t xml:space="preserve">= dummy fraudulent of financial statement variable. Category 1 </w:t>
      </w:r>
      <w:r w:rsidR="00A16D61" w:rsidRPr="00067267">
        <w:rPr>
          <w:rFonts w:cs="Calibri"/>
          <w:lang w:val="en-US"/>
        </w:rPr>
        <w:t xml:space="preserve">  </w:t>
      </w:r>
      <w:r w:rsidRPr="00067267">
        <w:rPr>
          <w:rFonts w:cs="Calibri"/>
          <w:lang w:val="en-US"/>
        </w:rPr>
        <w:t>for</w:t>
      </w:r>
      <w:r w:rsidR="00A16D61" w:rsidRPr="00067267">
        <w:rPr>
          <w:rFonts w:cs="Calibri"/>
          <w:lang w:val="en-US"/>
        </w:rPr>
        <w:t xml:space="preserve"> fraud indication and 0 for no fraud </w:t>
      </w:r>
      <w:r w:rsidRPr="00067267">
        <w:rPr>
          <w:rFonts w:cs="Calibri"/>
          <w:lang w:val="en-US"/>
        </w:rPr>
        <w:t xml:space="preserve">indication </w:t>
      </w:r>
    </w:p>
    <w:p w:rsidR="000D55BD" w:rsidRPr="00067267" w:rsidRDefault="000D55BD" w:rsidP="00A16D61">
      <w:pPr>
        <w:pStyle w:val="ListParagraph"/>
        <w:ind w:left="1800" w:hanging="1800"/>
        <w:rPr>
          <w:rFonts w:cs="Calibri"/>
          <w:lang w:val="en-US"/>
        </w:rPr>
      </w:pPr>
      <w:r w:rsidRPr="00067267">
        <w:rPr>
          <w:rFonts w:cs="Calibri"/>
          <w:lang w:val="en-US"/>
        </w:rPr>
        <w:t>α</w:t>
      </w:r>
      <w:r w:rsidRPr="00067267">
        <w:rPr>
          <w:rFonts w:cs="Calibri"/>
          <w:lang w:val="en-US"/>
        </w:rPr>
        <w:tab/>
      </w:r>
      <w:r w:rsidR="00A16D61" w:rsidRPr="00067267">
        <w:rPr>
          <w:rFonts w:cs="Calibri"/>
          <w:lang w:val="en-US"/>
        </w:rPr>
        <w:tab/>
      </w:r>
      <w:r w:rsidRPr="00067267">
        <w:rPr>
          <w:rFonts w:cs="Calibri"/>
          <w:lang w:val="en-US"/>
        </w:rPr>
        <w:t>= Constanta</w:t>
      </w:r>
    </w:p>
    <w:p w:rsidR="000D55BD" w:rsidRPr="00067267" w:rsidRDefault="000D55BD" w:rsidP="000D55BD">
      <w:pPr>
        <w:pStyle w:val="ListParagraph"/>
        <w:ind w:left="0"/>
        <w:rPr>
          <w:rFonts w:cs="Calibri"/>
          <w:lang w:val="en-US"/>
        </w:rPr>
      </w:pPr>
      <w:r w:rsidRPr="00067267">
        <w:rPr>
          <w:rFonts w:cs="Calibri"/>
          <w:lang w:val="en-US"/>
        </w:rPr>
        <w:t>β</w:t>
      </w:r>
      <w:r w:rsidRPr="00067267">
        <w:rPr>
          <w:rFonts w:cs="Calibri"/>
          <w:vertAlign w:val="subscript"/>
          <w:lang w:val="en-US"/>
        </w:rPr>
        <w:t>1</w:t>
      </w:r>
      <w:r w:rsidRPr="00067267">
        <w:rPr>
          <w:rFonts w:cs="Calibri"/>
          <w:lang w:val="en-US"/>
        </w:rPr>
        <w:t>, β</w:t>
      </w:r>
      <w:r w:rsidRPr="00067267">
        <w:rPr>
          <w:rFonts w:cs="Calibri"/>
          <w:vertAlign w:val="subscript"/>
          <w:lang w:val="en-US"/>
        </w:rPr>
        <w:t xml:space="preserve">2 </w:t>
      </w:r>
      <w:r w:rsidRPr="00067267">
        <w:rPr>
          <w:rFonts w:cs="Calibri"/>
          <w:lang w:val="en-US"/>
        </w:rPr>
        <w:t>,β</w:t>
      </w:r>
      <w:r w:rsidRPr="00067267">
        <w:rPr>
          <w:rFonts w:cs="Calibri"/>
          <w:vertAlign w:val="subscript"/>
          <w:lang w:val="en-US"/>
        </w:rPr>
        <w:t>3</w:t>
      </w:r>
      <w:r w:rsidRPr="00067267">
        <w:rPr>
          <w:rFonts w:cs="Calibri"/>
          <w:lang w:val="en-US"/>
        </w:rPr>
        <w:t>,β</w:t>
      </w:r>
      <w:r w:rsidRPr="00067267">
        <w:rPr>
          <w:rFonts w:cs="Calibri"/>
          <w:vertAlign w:val="subscript"/>
          <w:lang w:val="en-US"/>
        </w:rPr>
        <w:t>4</w:t>
      </w:r>
      <w:r w:rsidRPr="00067267">
        <w:rPr>
          <w:rFonts w:cs="Calibri"/>
          <w:lang w:val="en-US"/>
        </w:rPr>
        <w:t>,β</w:t>
      </w:r>
      <w:r w:rsidRPr="00067267">
        <w:rPr>
          <w:rFonts w:cs="Calibri"/>
          <w:vertAlign w:val="subscript"/>
          <w:lang w:val="en-US"/>
        </w:rPr>
        <w:t>5</w:t>
      </w:r>
      <w:r w:rsidRPr="00067267">
        <w:rPr>
          <w:rFonts w:cs="Calibri"/>
          <w:lang w:val="en-US"/>
        </w:rPr>
        <w:t>,β</w:t>
      </w:r>
      <w:r w:rsidRPr="00067267">
        <w:rPr>
          <w:rFonts w:cs="Calibri"/>
          <w:vertAlign w:val="subscript"/>
          <w:lang w:val="en-US"/>
        </w:rPr>
        <w:t>6</w:t>
      </w:r>
      <w:r w:rsidRPr="00067267">
        <w:rPr>
          <w:rFonts w:cs="Calibri"/>
          <w:lang w:val="en-US"/>
        </w:rPr>
        <w:t>,β</w:t>
      </w:r>
      <w:r w:rsidRPr="00067267">
        <w:rPr>
          <w:rFonts w:cs="Calibri"/>
          <w:vertAlign w:val="subscript"/>
          <w:lang w:val="en-US"/>
        </w:rPr>
        <w:t>7</w:t>
      </w:r>
      <w:r w:rsidRPr="00067267">
        <w:rPr>
          <w:rFonts w:cs="Calibri"/>
          <w:lang w:val="en-US"/>
        </w:rPr>
        <w:t xml:space="preserve"> </w:t>
      </w:r>
      <w:r w:rsidR="00A16D61" w:rsidRPr="00067267">
        <w:rPr>
          <w:rFonts w:cs="Calibri"/>
          <w:lang w:val="en-US"/>
        </w:rPr>
        <w:tab/>
      </w:r>
      <w:r w:rsidRPr="00067267">
        <w:rPr>
          <w:rFonts w:cs="Calibri"/>
          <w:lang w:val="en-US"/>
        </w:rPr>
        <w:t>= Coefficient regres</w:t>
      </w:r>
      <w:r w:rsidR="00A16D61" w:rsidRPr="00067267">
        <w:rPr>
          <w:rFonts w:cs="Calibri"/>
          <w:lang w:val="en-US"/>
        </w:rPr>
        <w:t>s</w:t>
      </w:r>
      <w:r w:rsidRPr="00067267">
        <w:rPr>
          <w:rFonts w:cs="Calibri"/>
          <w:lang w:val="en-US"/>
        </w:rPr>
        <w:t>ion</w:t>
      </w:r>
    </w:p>
    <w:p w:rsidR="000D55BD" w:rsidRPr="00067267" w:rsidRDefault="000D55BD" w:rsidP="000D55BD">
      <w:pPr>
        <w:pStyle w:val="ListParagraph"/>
        <w:ind w:left="0"/>
        <w:rPr>
          <w:rFonts w:cs="Calibri"/>
          <w:lang w:val="en-US"/>
        </w:rPr>
      </w:pPr>
      <w:r w:rsidRPr="00067267">
        <w:rPr>
          <w:rFonts w:cs="Calibri"/>
          <w:lang w:val="en-US"/>
        </w:rPr>
        <w:t>X</w:t>
      </w:r>
      <w:r w:rsidRPr="00067267">
        <w:rPr>
          <w:rFonts w:cs="Calibri"/>
          <w:vertAlign w:val="subscript"/>
          <w:lang w:val="en-US"/>
        </w:rPr>
        <w:t>1</w:t>
      </w:r>
      <w:r w:rsidRPr="00067267">
        <w:rPr>
          <w:rFonts w:cs="Calibri"/>
          <w:vertAlign w:val="subscript"/>
          <w:lang w:val="en-US"/>
        </w:rPr>
        <w:tab/>
      </w:r>
      <w:r w:rsidRPr="00067267">
        <w:rPr>
          <w:rFonts w:cs="Calibri"/>
          <w:vertAlign w:val="subscript"/>
          <w:lang w:val="en-US"/>
        </w:rPr>
        <w:tab/>
      </w:r>
      <w:r w:rsidR="00A16D61" w:rsidRPr="00067267">
        <w:rPr>
          <w:rFonts w:cs="Calibri"/>
          <w:vertAlign w:val="subscript"/>
          <w:lang w:val="en-US"/>
        </w:rPr>
        <w:tab/>
      </w:r>
      <w:r w:rsidRPr="00067267">
        <w:rPr>
          <w:rFonts w:cs="Calibri"/>
          <w:lang w:val="en-US"/>
        </w:rPr>
        <w:t>= Financial Stability</w:t>
      </w:r>
    </w:p>
    <w:p w:rsidR="000D55BD" w:rsidRPr="00067267" w:rsidRDefault="000D55BD" w:rsidP="000D55BD">
      <w:pPr>
        <w:pStyle w:val="ListParagraph"/>
        <w:ind w:left="0"/>
        <w:rPr>
          <w:rFonts w:cs="Calibri"/>
          <w:lang w:val="en-US"/>
        </w:rPr>
      </w:pPr>
      <w:r w:rsidRPr="00067267">
        <w:rPr>
          <w:rFonts w:cs="Calibri"/>
          <w:lang w:val="en-US"/>
        </w:rPr>
        <w:t>X</w:t>
      </w:r>
      <w:r w:rsidRPr="00067267">
        <w:rPr>
          <w:rFonts w:cs="Calibri"/>
          <w:vertAlign w:val="subscript"/>
          <w:lang w:val="en-US"/>
        </w:rPr>
        <w:t>2</w:t>
      </w:r>
      <w:r w:rsidRPr="00067267">
        <w:rPr>
          <w:rFonts w:cs="Calibri"/>
          <w:vertAlign w:val="subscript"/>
          <w:lang w:val="en-US"/>
        </w:rPr>
        <w:tab/>
      </w:r>
      <w:r w:rsidRPr="00067267">
        <w:rPr>
          <w:rFonts w:cs="Calibri"/>
          <w:vertAlign w:val="subscript"/>
          <w:lang w:val="en-US"/>
        </w:rPr>
        <w:tab/>
      </w:r>
      <w:r w:rsidR="00A16D61" w:rsidRPr="00067267">
        <w:rPr>
          <w:rFonts w:cs="Calibri"/>
          <w:vertAlign w:val="subscript"/>
          <w:lang w:val="en-US"/>
        </w:rPr>
        <w:tab/>
      </w:r>
      <w:r w:rsidRPr="00067267">
        <w:rPr>
          <w:rFonts w:cs="Calibri"/>
          <w:lang w:val="en-US"/>
        </w:rPr>
        <w:t>= External Pressure</w:t>
      </w:r>
    </w:p>
    <w:p w:rsidR="000D55BD" w:rsidRPr="00067267" w:rsidRDefault="000D55BD" w:rsidP="000D55BD">
      <w:pPr>
        <w:pStyle w:val="ListParagraph"/>
        <w:ind w:left="0"/>
        <w:rPr>
          <w:rFonts w:cs="Calibri"/>
          <w:lang w:val="en-US"/>
        </w:rPr>
      </w:pPr>
      <w:r w:rsidRPr="00067267">
        <w:rPr>
          <w:rFonts w:cs="Calibri"/>
          <w:lang w:val="en-US"/>
        </w:rPr>
        <w:t>X</w:t>
      </w:r>
      <w:r w:rsidRPr="00067267">
        <w:rPr>
          <w:rFonts w:cs="Calibri"/>
          <w:vertAlign w:val="subscript"/>
          <w:lang w:val="en-US"/>
        </w:rPr>
        <w:t>3</w:t>
      </w:r>
      <w:r w:rsidRPr="00067267">
        <w:rPr>
          <w:rFonts w:cs="Calibri"/>
          <w:vertAlign w:val="subscript"/>
          <w:lang w:val="en-US"/>
        </w:rPr>
        <w:tab/>
      </w:r>
      <w:r w:rsidRPr="00067267">
        <w:rPr>
          <w:rFonts w:cs="Calibri"/>
          <w:vertAlign w:val="subscript"/>
          <w:lang w:val="en-US"/>
        </w:rPr>
        <w:tab/>
      </w:r>
      <w:r w:rsidR="00A16D61" w:rsidRPr="00067267">
        <w:rPr>
          <w:rFonts w:cs="Calibri"/>
          <w:vertAlign w:val="subscript"/>
          <w:lang w:val="en-US"/>
        </w:rPr>
        <w:tab/>
      </w:r>
      <w:r w:rsidRPr="00067267">
        <w:rPr>
          <w:rFonts w:cs="Calibri"/>
          <w:lang w:val="en-US"/>
        </w:rPr>
        <w:t>= Financial targets</w:t>
      </w:r>
    </w:p>
    <w:p w:rsidR="000D55BD" w:rsidRPr="00067267" w:rsidRDefault="000D55BD" w:rsidP="000D55BD">
      <w:pPr>
        <w:pStyle w:val="ListParagraph"/>
        <w:ind w:left="0"/>
        <w:rPr>
          <w:rFonts w:cs="Calibri"/>
          <w:lang w:val="en-US"/>
        </w:rPr>
      </w:pPr>
      <w:r w:rsidRPr="00067267">
        <w:rPr>
          <w:rFonts w:cs="Calibri"/>
          <w:lang w:val="en-US"/>
        </w:rPr>
        <w:t>X</w:t>
      </w:r>
      <w:r w:rsidRPr="00067267">
        <w:rPr>
          <w:rFonts w:cs="Calibri"/>
          <w:vertAlign w:val="subscript"/>
          <w:lang w:val="en-US"/>
        </w:rPr>
        <w:t>4</w:t>
      </w:r>
      <w:r w:rsidRPr="00067267">
        <w:rPr>
          <w:rFonts w:cs="Calibri"/>
          <w:vertAlign w:val="subscript"/>
          <w:lang w:val="en-US"/>
        </w:rPr>
        <w:tab/>
      </w:r>
      <w:r w:rsidRPr="00067267">
        <w:rPr>
          <w:rFonts w:cs="Calibri"/>
          <w:vertAlign w:val="subscript"/>
          <w:lang w:val="en-US"/>
        </w:rPr>
        <w:tab/>
      </w:r>
      <w:r w:rsidR="00A16D61" w:rsidRPr="00067267">
        <w:rPr>
          <w:rFonts w:cs="Calibri"/>
          <w:vertAlign w:val="subscript"/>
          <w:lang w:val="en-US"/>
        </w:rPr>
        <w:tab/>
      </w:r>
      <w:r w:rsidRPr="00067267">
        <w:rPr>
          <w:rFonts w:cs="Calibri"/>
          <w:lang w:val="en-US"/>
        </w:rPr>
        <w:t>= Effective Monitoring</w:t>
      </w:r>
    </w:p>
    <w:p w:rsidR="000D55BD" w:rsidRPr="00067267" w:rsidRDefault="000D55BD" w:rsidP="000D55BD">
      <w:pPr>
        <w:pStyle w:val="ListParagraph"/>
        <w:ind w:left="0"/>
        <w:rPr>
          <w:rFonts w:cs="Calibri"/>
          <w:lang w:val="en-US"/>
        </w:rPr>
      </w:pPr>
      <w:r w:rsidRPr="00067267">
        <w:rPr>
          <w:rFonts w:cs="Calibri"/>
          <w:lang w:val="en-US"/>
        </w:rPr>
        <w:t>X</w:t>
      </w:r>
      <w:r w:rsidRPr="00067267">
        <w:rPr>
          <w:rFonts w:cs="Calibri"/>
          <w:vertAlign w:val="subscript"/>
          <w:lang w:val="en-US"/>
        </w:rPr>
        <w:t>5</w:t>
      </w:r>
      <w:r w:rsidRPr="00067267">
        <w:rPr>
          <w:rFonts w:cs="Calibri"/>
          <w:vertAlign w:val="subscript"/>
          <w:lang w:val="en-US"/>
        </w:rPr>
        <w:tab/>
      </w:r>
      <w:r w:rsidRPr="00067267">
        <w:rPr>
          <w:rFonts w:cs="Calibri"/>
          <w:vertAlign w:val="subscript"/>
          <w:lang w:val="en-US"/>
        </w:rPr>
        <w:tab/>
      </w:r>
      <w:r w:rsidR="00A16D61" w:rsidRPr="00067267">
        <w:rPr>
          <w:rFonts w:cs="Calibri"/>
          <w:vertAlign w:val="subscript"/>
          <w:lang w:val="en-US"/>
        </w:rPr>
        <w:tab/>
      </w:r>
      <w:r w:rsidRPr="00067267">
        <w:rPr>
          <w:rFonts w:cs="Calibri"/>
          <w:lang w:val="en-US"/>
        </w:rPr>
        <w:t>= Accruals</w:t>
      </w:r>
    </w:p>
    <w:p w:rsidR="000D55BD" w:rsidRPr="00067267" w:rsidRDefault="00A16D61" w:rsidP="000D55BD">
      <w:pPr>
        <w:pStyle w:val="ListParagraph"/>
        <w:ind w:left="0"/>
        <w:rPr>
          <w:rFonts w:cs="Calibri"/>
          <w:lang w:val="en-US"/>
        </w:rPr>
      </w:pPr>
      <w:r w:rsidRPr="00067267">
        <w:rPr>
          <w:rFonts w:cs="Calibri"/>
          <w:lang w:val="en-US"/>
        </w:rPr>
        <w:t>Z</w:t>
      </w:r>
      <w:r w:rsidRPr="00067267">
        <w:rPr>
          <w:rFonts w:cs="Calibri"/>
          <w:lang w:val="en-US"/>
        </w:rPr>
        <w:tab/>
      </w:r>
      <w:r w:rsidRPr="00067267">
        <w:rPr>
          <w:rFonts w:cs="Calibri"/>
          <w:lang w:val="en-US"/>
        </w:rPr>
        <w:tab/>
      </w:r>
      <w:r w:rsidRPr="00067267">
        <w:rPr>
          <w:rFonts w:cs="Calibri"/>
          <w:lang w:val="en-US"/>
        </w:rPr>
        <w:tab/>
        <w:t>= Tech</w:t>
      </w:r>
      <w:r w:rsidR="000D55BD" w:rsidRPr="00067267">
        <w:rPr>
          <w:rFonts w:cs="Calibri"/>
          <w:lang w:val="en-US"/>
        </w:rPr>
        <w:t>nolog</w:t>
      </w:r>
      <w:r w:rsidRPr="00067267">
        <w:rPr>
          <w:rFonts w:cs="Calibri"/>
          <w:lang w:val="en-US"/>
        </w:rPr>
        <w:t>y</w:t>
      </w:r>
      <w:r w:rsidR="000D55BD" w:rsidRPr="00067267">
        <w:rPr>
          <w:rFonts w:cs="Calibri"/>
          <w:lang w:val="en-US"/>
        </w:rPr>
        <w:t xml:space="preserve"> I</w:t>
      </w:r>
      <w:r w:rsidRPr="00067267">
        <w:rPr>
          <w:rFonts w:cs="Calibri"/>
          <w:lang w:val="en-US"/>
        </w:rPr>
        <w:t>ndustry</w:t>
      </w:r>
      <w:r w:rsidR="000D55BD" w:rsidRPr="00067267">
        <w:rPr>
          <w:rFonts w:cs="Calibri"/>
          <w:lang w:val="en-US"/>
        </w:rPr>
        <w:t xml:space="preserve"> 4.0</w:t>
      </w:r>
    </w:p>
    <w:p w:rsidR="00A16D61" w:rsidRPr="00067267" w:rsidRDefault="000D55BD" w:rsidP="00A16D61">
      <w:pPr>
        <w:pStyle w:val="ListParagraph"/>
        <w:ind w:left="0"/>
        <w:rPr>
          <w:rFonts w:cs="Calibri"/>
          <w:lang w:val="en-US"/>
        </w:rPr>
      </w:pPr>
      <w:r w:rsidRPr="00067267">
        <w:rPr>
          <w:rFonts w:cs="Calibri"/>
          <w:lang w:val="en-US"/>
        </w:rPr>
        <w:t xml:space="preserve">ε </w:t>
      </w:r>
      <w:r w:rsidRPr="00067267">
        <w:rPr>
          <w:rFonts w:cs="Calibri"/>
          <w:lang w:val="en-US"/>
        </w:rPr>
        <w:tab/>
      </w:r>
      <w:r w:rsidRPr="00067267">
        <w:rPr>
          <w:rFonts w:cs="Calibri"/>
          <w:lang w:val="en-US"/>
        </w:rPr>
        <w:tab/>
      </w:r>
      <w:r w:rsidRPr="00067267">
        <w:rPr>
          <w:rFonts w:cs="Calibri"/>
          <w:lang w:val="en-US"/>
        </w:rPr>
        <w:tab/>
        <w:t>= Error</w:t>
      </w:r>
    </w:p>
    <w:p w:rsidR="00A16D61" w:rsidRPr="00067267" w:rsidRDefault="00A16D61" w:rsidP="00A16D61">
      <w:pPr>
        <w:pStyle w:val="ListParagraph"/>
        <w:ind w:left="0"/>
        <w:rPr>
          <w:rFonts w:cs="Calibri"/>
          <w:lang w:val="en-US"/>
        </w:rPr>
      </w:pPr>
      <w:r w:rsidRPr="00067267">
        <w:rPr>
          <w:rFonts w:cs="Calibri"/>
          <w:lang w:val="en-US"/>
        </w:rPr>
        <w:t xml:space="preserve">(1), (2) </w:t>
      </w:r>
      <w:r w:rsidRPr="00067267">
        <w:rPr>
          <w:rFonts w:cs="Calibri"/>
          <w:lang w:val="en-US"/>
        </w:rPr>
        <w:tab/>
      </w:r>
      <w:r w:rsidRPr="00067267">
        <w:rPr>
          <w:rFonts w:cs="Calibri"/>
          <w:lang w:val="en-US"/>
        </w:rPr>
        <w:tab/>
      </w:r>
      <w:r w:rsidRPr="00067267">
        <w:rPr>
          <w:rFonts w:cs="Calibri"/>
          <w:lang w:val="en-US"/>
        </w:rPr>
        <w:tab/>
        <w:t>= Model logistic regression for hyp</w:t>
      </w:r>
      <w:r w:rsidR="000D55BD" w:rsidRPr="00067267">
        <w:rPr>
          <w:rFonts w:cs="Calibri"/>
          <w:lang w:val="en-US"/>
        </w:rPr>
        <w:t>oteses 1-5</w:t>
      </w:r>
    </w:p>
    <w:p w:rsidR="000D55BD" w:rsidRPr="00067267" w:rsidRDefault="00A16D61" w:rsidP="00866B0F">
      <w:pPr>
        <w:pStyle w:val="ListParagraph"/>
        <w:spacing w:after="0"/>
        <w:ind w:left="0"/>
        <w:rPr>
          <w:rFonts w:cs="Calibri"/>
          <w:lang w:val="en-US"/>
        </w:rPr>
      </w:pPr>
      <w:r w:rsidRPr="00067267">
        <w:rPr>
          <w:rFonts w:cs="Calibri"/>
          <w:lang w:val="en-US"/>
        </w:rPr>
        <w:t>(3)</w:t>
      </w:r>
      <w:r w:rsidRPr="00067267">
        <w:rPr>
          <w:rFonts w:cs="Calibri"/>
          <w:lang w:val="en-US"/>
        </w:rPr>
        <w:tab/>
      </w:r>
      <w:r w:rsidRPr="00067267">
        <w:rPr>
          <w:rFonts w:cs="Calibri"/>
          <w:lang w:val="en-US"/>
        </w:rPr>
        <w:tab/>
      </w:r>
      <w:r w:rsidRPr="00067267">
        <w:rPr>
          <w:rFonts w:cs="Calibri"/>
          <w:lang w:val="en-US"/>
        </w:rPr>
        <w:tab/>
      </w:r>
      <w:r w:rsidR="000D55BD" w:rsidRPr="00067267">
        <w:rPr>
          <w:rFonts w:cs="Calibri"/>
          <w:lang w:val="en-US"/>
        </w:rPr>
        <w:t>= Mo</w:t>
      </w:r>
      <w:r w:rsidRPr="00067267">
        <w:rPr>
          <w:rFonts w:cs="Calibri"/>
          <w:lang w:val="en-US"/>
        </w:rPr>
        <w:t>del logistic regression for hypotesis</w:t>
      </w:r>
      <w:r w:rsidR="000D55BD" w:rsidRPr="00067267">
        <w:rPr>
          <w:rFonts w:cs="Calibri"/>
          <w:lang w:val="en-US"/>
        </w:rPr>
        <w:t xml:space="preserve"> 6</w:t>
      </w:r>
    </w:p>
    <w:p w:rsidR="000D55BD" w:rsidRPr="00067267" w:rsidRDefault="000D55BD" w:rsidP="00866B0F">
      <w:pPr>
        <w:spacing w:after="0"/>
        <w:ind w:firstLine="720"/>
        <w:jc w:val="both"/>
        <w:rPr>
          <w:rFonts w:cs="Calibri"/>
          <w:lang w:val="en-US"/>
        </w:rPr>
      </w:pPr>
      <w:r w:rsidRPr="00067267">
        <w:rPr>
          <w:rFonts w:cs="Calibri"/>
          <w:lang w:val="en"/>
        </w:rPr>
        <w:t xml:space="preserve">Fraudulent financial reporting in this </w:t>
      </w:r>
      <w:r w:rsidR="00E26742" w:rsidRPr="00067267">
        <w:rPr>
          <w:rFonts w:cs="Calibri"/>
          <w:lang w:val="en"/>
        </w:rPr>
        <w:t>reasearch</w:t>
      </w:r>
      <w:r w:rsidRPr="00067267">
        <w:rPr>
          <w:rFonts w:cs="Calibri"/>
          <w:lang w:val="en"/>
        </w:rPr>
        <w:t xml:space="preserve"> was measured using the Beneish M-Score model. Bene</w:t>
      </w:r>
      <w:r w:rsidR="00A0219B" w:rsidRPr="00067267">
        <w:rPr>
          <w:rFonts w:cs="Calibri"/>
          <w:lang w:val="en"/>
        </w:rPr>
        <w:t>ish</w:t>
      </w:r>
      <w:r w:rsidRPr="00067267">
        <w:rPr>
          <w:rFonts w:cs="Calibri"/>
          <w:lang w:val="en"/>
        </w:rPr>
        <w:t xml:space="preserve"> M-score is a mathematical model that consists of 8 indices that are used to find an anomaly or deviation in the financial statements as a result of profit mani</w:t>
      </w:r>
      <w:r w:rsidR="00905E89" w:rsidRPr="00067267">
        <w:rPr>
          <w:rFonts w:cs="Calibri"/>
          <w:lang w:val="en"/>
        </w:rPr>
        <w:t>pulation and fraud manipulation</w:t>
      </w:r>
      <w:r w:rsidRPr="00067267">
        <w:rPr>
          <w:rFonts w:cs="Calibri"/>
          <w:lang w:val="en"/>
        </w:rPr>
        <w:t xml:space="preserve"> </w:t>
      </w:r>
      <w:hyperlink w:anchor="_References" w:history="1">
        <w:r w:rsidRPr="00067267">
          <w:rPr>
            <w:rStyle w:val="Hyperlink"/>
            <w:rFonts w:cs="Calibri"/>
            <w:u w:val="none"/>
            <w:lang w:val="en"/>
          </w:rPr>
          <w:t>Repousis (2016)</w:t>
        </w:r>
      </w:hyperlink>
      <w:r w:rsidRPr="00067267">
        <w:rPr>
          <w:rFonts w:cs="Calibri"/>
          <w:lang w:val="en"/>
        </w:rPr>
        <w:t xml:space="preserve">. Eight indexes used are </w:t>
      </w:r>
      <w:r w:rsidR="00E26742" w:rsidRPr="00067267">
        <w:rPr>
          <w:rFonts w:cs="Calibri"/>
          <w:lang w:val="en"/>
        </w:rPr>
        <w:t>days’</w:t>
      </w:r>
      <w:r w:rsidRPr="00067267">
        <w:rPr>
          <w:rFonts w:cs="Calibri"/>
          <w:lang w:val="en"/>
        </w:rPr>
        <w:t xml:space="preserve"> sales in receivable index (DSRI), gross margin index (GMI), asset quality index (AQI), sales </w:t>
      </w:r>
      <w:r w:rsidRPr="00067267">
        <w:rPr>
          <w:rFonts w:cs="Calibri"/>
          <w:lang w:val="en"/>
        </w:rPr>
        <w:lastRenderedPageBreak/>
        <w:t xml:space="preserve">growth index (SGI), depreciation index (DEPI), general sales and administrative expenses index (SGAI), leverage index (LVGI) and total accruals to total assets (SYSTEM). Beneish M-Score model with eight indexes is integrated in the model </w:t>
      </w:r>
      <w:r w:rsidRPr="00067267">
        <w:rPr>
          <w:rFonts w:cs="Calibri"/>
          <w:lang w:val="en"/>
        </w:rPr>
        <w:fldChar w:fldCharType="begin" w:fldLock="1"/>
      </w:r>
      <w:r w:rsidR="00BE1B00" w:rsidRPr="00067267">
        <w:rPr>
          <w:rFonts w:cs="Calibri"/>
          <w:lang w:val="en"/>
        </w:rPr>
        <w:instrText>ADDIN CSL_CITATION {"citationItems":[{"id":"ITEM-1","itemData":{"author":[{"dropping-particle":"","family":"Ugochukwu","given":"NJ","non-dropping-particle":"","parse-names":false,"suffix":""},{"dropping-particle":"","family":"Emma","given":"","non-dropping-particle":"","parse-names":false,"suffix":""},{"dropping-particle":"","family":"Azuibuike","given":"","non-dropping-particle":"","parse-names":false,"suffix":""}],"container-title":"Management and Administrative Sciences Review","id":"ITEM-1","issue":"6","issued":{"date-parts":[["2013"]]},"page":"640-655","title":"Beneish model as effective complement to the aplication of SAS no. 99 in the conduct of audit in Nigeria","type":"article-journal","volume":"2"},"uris":["http://www.mendeley.com/documents/?uuid=7216bd44-bece-4734-b02b-f55f28665e8f"]}],"mendeley":{"formattedCitation":"(Ugochukwu et al., 2013)","plainTextFormattedCitation":"(Ugochukwu et al., 2013)","previouslyFormattedCitation":"(Ugochukwu et al., 2013)"},"properties":{"noteIndex":0},"schema":"https://github.com/citation-style-language/schema/raw/master/csl-citation.json"}</w:instrText>
      </w:r>
      <w:r w:rsidRPr="00067267">
        <w:rPr>
          <w:rFonts w:cs="Calibri"/>
          <w:lang w:val="en"/>
        </w:rPr>
        <w:fldChar w:fldCharType="separate"/>
      </w:r>
      <w:r w:rsidRPr="00067267">
        <w:rPr>
          <w:rFonts w:cs="Calibri"/>
          <w:noProof/>
          <w:lang w:val="en"/>
        </w:rPr>
        <w:t>(</w:t>
      </w:r>
      <w:hyperlink w:anchor="_References" w:history="1">
        <w:r w:rsidRPr="00067267">
          <w:rPr>
            <w:rStyle w:val="Hyperlink"/>
            <w:rFonts w:cs="Calibri"/>
            <w:noProof/>
            <w:u w:val="none"/>
            <w:lang w:val="en"/>
          </w:rPr>
          <w:t>Ugochukwu et al., 2013</w:t>
        </w:r>
      </w:hyperlink>
      <w:r w:rsidRPr="00067267">
        <w:rPr>
          <w:rFonts w:cs="Calibri"/>
          <w:noProof/>
          <w:lang w:val="en"/>
        </w:rPr>
        <w:t>)</w:t>
      </w:r>
      <w:r w:rsidRPr="00067267">
        <w:rPr>
          <w:rFonts w:cs="Calibri"/>
          <w:lang w:val="en-US"/>
        </w:rPr>
        <w:fldChar w:fldCharType="end"/>
      </w:r>
      <w:r w:rsidRPr="00067267">
        <w:rPr>
          <w:rFonts w:cs="Calibri"/>
          <w:lang w:val="en"/>
        </w:rPr>
        <w:t xml:space="preserve"> as follows:</w:t>
      </w:r>
    </w:p>
    <w:p w:rsidR="00FC3831" w:rsidRPr="00067267" w:rsidRDefault="000D55BD" w:rsidP="00FC41C2">
      <w:pPr>
        <w:pStyle w:val="ListParagraph"/>
        <w:tabs>
          <w:tab w:val="left" w:leader="dot" w:pos="7380"/>
        </w:tabs>
        <w:spacing w:after="0"/>
        <w:ind w:left="1980" w:right="286" w:hanging="1710"/>
        <w:rPr>
          <w:rFonts w:cs="Calibri"/>
          <w:lang w:val="en-US"/>
        </w:rPr>
      </w:pPr>
      <w:r w:rsidRPr="00067267">
        <w:rPr>
          <w:rFonts w:cs="Calibri"/>
          <w:lang w:val="en-US"/>
        </w:rPr>
        <w:t>Beneish M-Score = -4.84 + 0.92DSRI + 0.528GMI + 0.404AQI + 0.892 SGI + 0.115DEPI – 0.172SGAI – 0.327LVGI + 4.679TATA</w:t>
      </w:r>
      <w:r w:rsidR="00FC3831" w:rsidRPr="00067267">
        <w:rPr>
          <w:rFonts w:cs="Calibri"/>
          <w:lang w:val="en-US"/>
        </w:rPr>
        <w:tab/>
        <w:t>(4)</w:t>
      </w:r>
    </w:p>
    <w:p w:rsidR="000D55BD" w:rsidRPr="00067267" w:rsidRDefault="000D55BD" w:rsidP="00FC41C2">
      <w:pPr>
        <w:pStyle w:val="ListParagraph"/>
        <w:spacing w:after="0"/>
        <w:ind w:left="0" w:firstLine="720"/>
        <w:jc w:val="both"/>
        <w:rPr>
          <w:rFonts w:cs="Calibri"/>
          <w:lang w:val="en-US"/>
        </w:rPr>
      </w:pPr>
      <w:r w:rsidRPr="00067267">
        <w:rPr>
          <w:rFonts w:cs="Calibri"/>
          <w:lang w:val="en-US"/>
        </w:rPr>
        <w:t>If the M-score is greater than -2.22, the company is identified as having committed fraudulent on financial reporting. Therefore</w:t>
      </w:r>
      <w:r w:rsidR="00FC3831" w:rsidRPr="00067267">
        <w:rPr>
          <w:rFonts w:cs="Calibri"/>
          <w:lang w:val="en-US"/>
        </w:rPr>
        <w:t>,</w:t>
      </w:r>
      <w:r w:rsidRPr="00067267">
        <w:rPr>
          <w:rFonts w:cs="Calibri"/>
          <w:lang w:val="en-US"/>
        </w:rPr>
        <w:t xml:space="preserve"> in this study the dependent variable is financial statement cheating using a dummy, i.e. category 1 (one) for companies that are indicated to have cheated financial statements and category 0 (zero) for those not indicated.</w:t>
      </w:r>
      <w:r w:rsidR="00FC3831" w:rsidRPr="00067267">
        <w:rPr>
          <w:rFonts w:cs="Calibri"/>
          <w:lang w:val="en-US"/>
        </w:rPr>
        <w:t xml:space="preserve"> </w:t>
      </w:r>
      <w:r w:rsidRPr="00067267">
        <w:rPr>
          <w:rFonts w:cs="Calibri"/>
          <w:lang w:val="en-US"/>
        </w:rPr>
        <w:t xml:space="preserve">Financial stability in this study uses growth in assets (FINST). According to </w:t>
      </w:r>
      <w:hyperlink w:anchor="_References" w:history="1">
        <w:r w:rsidRPr="00067267">
          <w:rPr>
            <w:rStyle w:val="Hyperlink"/>
            <w:rFonts w:cs="Calibri"/>
            <w:u w:val="none"/>
            <w:lang w:val="en-US"/>
          </w:rPr>
          <w:fldChar w:fldCharType="begin" w:fldLock="1"/>
        </w:r>
        <w:r w:rsidR="008147B7" w:rsidRPr="00067267">
          <w:rPr>
            <w:rStyle w:val="Hyperlink"/>
            <w:rFonts w:cs="Calibri"/>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Journal","id":"ITEM-1","issue":"3","issued":{"date-parts":[["2009"]]},"page":"301-316","title":"Fraud score analysis in emerging markets","type":"article-journal","volume":"16"},"uris":["http://www.mendeley.com/documents/?uuid=1dfbd329-9e94-4a64-af79-4f1d50601eb8"]}],"mendeley":{"formattedCitation":"(Skousen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Pr="00067267">
          <w:rPr>
            <w:rStyle w:val="Hyperlink"/>
            <w:rFonts w:cs="Calibri"/>
            <w:u w:val="none"/>
            <w:lang w:val="en-US"/>
          </w:rPr>
          <w:fldChar w:fldCharType="separate"/>
        </w:r>
        <w:r w:rsidRPr="00067267">
          <w:rPr>
            <w:rStyle w:val="Hyperlink"/>
            <w:rFonts w:cs="Calibri"/>
            <w:noProof/>
            <w:u w:val="none"/>
            <w:lang w:val="en-US"/>
          </w:rPr>
          <w:t>Skousen &amp; Twedt, (2009)</w:t>
        </w:r>
        <w:r w:rsidRPr="00067267">
          <w:rPr>
            <w:rStyle w:val="Hyperlink"/>
            <w:rFonts w:cs="Calibri"/>
            <w:u w:val="none"/>
            <w:lang w:val="en-US"/>
          </w:rPr>
          <w:fldChar w:fldCharType="end"/>
        </w:r>
      </w:hyperlink>
      <w:r w:rsidRPr="00067267">
        <w:rPr>
          <w:rFonts w:cs="Calibri"/>
          <w:lang w:val="en-US"/>
        </w:rPr>
        <w:t>, companies that experience growth rates below the industry average, increase management's potential to use financial statements that are manipulated so that the company's image looks good in the public eye.</w:t>
      </w:r>
    </w:p>
    <w:p w:rsidR="00361F58" w:rsidRPr="00067267" w:rsidRDefault="00361F58" w:rsidP="00361F58">
      <w:pPr>
        <w:pStyle w:val="ListParagraph"/>
        <w:tabs>
          <w:tab w:val="left" w:leader="dot" w:pos="7380"/>
        </w:tabs>
        <w:ind w:left="2070"/>
        <w:rPr>
          <w:rFonts w:asciiTheme="minorHAnsi" w:hAnsiTheme="minorHAnsi" w:cstheme="minorHAnsi"/>
          <w:lang w:val="en-US"/>
        </w:rPr>
      </w:pPr>
      <m:oMath>
        <m:r>
          <m:rPr>
            <m:nor/>
          </m:rPr>
          <w:rPr>
            <w:rFonts w:asciiTheme="minorHAnsi" w:eastAsia="Calibri" w:hAnsiTheme="minorHAnsi" w:cstheme="minorHAnsi"/>
            <w:lang w:val="en-US"/>
          </w:rPr>
          <m:t>Financial stability (FINST)=</m:t>
        </m:r>
        <m:f>
          <m:fPr>
            <m:ctrlPr>
              <w:rPr>
                <w:rFonts w:ascii="Cambria Math" w:eastAsia="Calibri" w:hAnsi="Cambria Math" w:cstheme="minorHAnsi"/>
                <w:lang w:val="en-US"/>
              </w:rPr>
            </m:ctrlPr>
          </m:fPr>
          <m:num>
            <m:sSub>
              <m:sSubPr>
                <m:ctrlPr>
                  <w:rPr>
                    <w:rFonts w:ascii="Cambria Math" w:eastAsia="Calibri" w:hAnsi="Cambria Math" w:cstheme="minorHAnsi"/>
                    <w:i/>
                    <w:lang w:val="en-US"/>
                  </w:rPr>
                </m:ctrlPr>
              </m:sSubPr>
              <m:e>
                <m:r>
                  <m:rPr>
                    <m:nor/>
                  </m:rPr>
                  <w:rPr>
                    <w:rFonts w:asciiTheme="minorHAnsi" w:eastAsia="Calibri" w:hAnsiTheme="minorHAnsi" w:cstheme="minorHAnsi"/>
                    <w:lang w:val="en-US"/>
                  </w:rPr>
                  <m:t>Total Assetst-Total Assets</m:t>
                </m:r>
              </m:e>
              <m:sub>
                <m:r>
                  <w:rPr>
                    <w:rFonts w:ascii="Cambria Math" w:eastAsia="Calibri" w:hAnsi="Cambria Math" w:cstheme="minorHAnsi"/>
                    <w:lang w:val="en-US"/>
                  </w:rPr>
                  <m:t>t-1</m:t>
                </m:r>
              </m:sub>
            </m:sSub>
          </m:num>
          <m:den>
            <m:r>
              <m:rPr>
                <m:nor/>
              </m:rPr>
              <w:rPr>
                <w:rFonts w:asciiTheme="minorHAnsi" w:eastAsia="Calibri" w:hAnsiTheme="minorHAnsi" w:cstheme="minorHAnsi"/>
                <w:lang w:val="en-US"/>
              </w:rPr>
              <m:t>Total Assets</m:t>
            </m:r>
          </m:den>
        </m:f>
      </m:oMath>
      <w:r w:rsidRPr="00067267">
        <w:rPr>
          <w:rFonts w:asciiTheme="minorHAnsi" w:hAnsiTheme="minorHAnsi" w:cstheme="minorHAnsi"/>
          <w:lang w:val="en-US"/>
        </w:rPr>
        <w:tab/>
        <w:t>(5)</w:t>
      </w:r>
    </w:p>
    <w:p w:rsidR="000D55BD" w:rsidRPr="00067267" w:rsidRDefault="000D55BD" w:rsidP="00361F58">
      <w:pPr>
        <w:pStyle w:val="ListParagraph"/>
        <w:ind w:left="0" w:firstLine="720"/>
        <w:jc w:val="both"/>
        <w:rPr>
          <w:rFonts w:asciiTheme="minorHAnsi" w:hAnsiTheme="minorHAnsi" w:cstheme="minorHAnsi"/>
          <w:lang w:val="en-US"/>
        </w:rPr>
      </w:pPr>
      <w:r w:rsidRPr="00067267">
        <w:rPr>
          <w:rFonts w:cs="Calibri"/>
          <w:lang w:val="en-US"/>
        </w:rPr>
        <w:t xml:space="preserve">External pressure or company external pressure in this research uses leverage. Leverage is a ratio that measures the proportion of assets financed by liabilities </w:t>
      </w:r>
      <w:r w:rsidRPr="00067267">
        <w:rPr>
          <w:rFonts w:cs="Calibri"/>
          <w:lang w:val="en-US"/>
        </w:rPr>
        <w:fldChar w:fldCharType="begin" w:fldLock="1"/>
      </w:r>
      <w:r w:rsidR="00D338D4" w:rsidRPr="00067267">
        <w:rPr>
          <w:rFonts w:cs="Calibri"/>
          <w:lang w:val="en-US"/>
        </w:rPr>
        <w:instrText>ADDIN CSL_CITATION {"citationItems":[{"id":"ITEM-1","itemData":{"DOI":"10.1111/j.1540-6261.2010.01627.x","ISSN":"00221082","abstract":"Financial firms raise short-term debt to finance asset purchases; this induces risk shifting when economic conditions worsen and limits their ability to roll over debt. Constrained firms de-lever by selling assets to lower-leverage firms. In turn, asset-market liquidity depends on the system-wide distribution of leverage, which is itself endogenous to future economic prospects. Good economic prospects yield cheaper short-term debt, inducing entry of higher-leverage firms. Consequently, adverse asset shocks in good times lead to greater de-leveraging and sudden drying up of market and funding liquidity. © 2011 the American Finance Association.","author":[{"dropping-particle":"V.","family":"Acharya","given":"Viral","non-dropping-particle":"","parse-names":false,"suffix":""},{"dropping-particle":"","family":"Viswanathan","given":"S.","non-dropping-particle":"","parse-names":false,"suffix":""}],"container-title":"Journal of Finance","id":"ITEM-1","issue":"1","issued":{"date-parts":[["2011"]]},"page":"99-138","title":"Leverage, Moral Hazard, and Liquidity","type":"article-journal","volume":"66"},"uris":["http://www.mendeley.com/documents/?uuid=1b13fcf6-8114-40ab-b357-f6503254c1a5"]}],"mendeley":{"formattedCitation":"(Acharya &amp; Viswanathan, 2011)","manualFormatting":"(Acharya et al., 2011)","plainTextFormattedCitation":"(Acharya &amp; Viswanathan, 2011)","previouslyFormattedCitation":"(Acharya &amp; Viswanathan, 2011)"},"properties":{"noteIndex":0},"schema":"https://github.com/citation-style-language/schema/raw/master/csl-citation.json"}</w:instrText>
      </w:r>
      <w:r w:rsidRPr="00067267">
        <w:rPr>
          <w:rFonts w:cs="Calibri"/>
          <w:lang w:val="en-US"/>
        </w:rPr>
        <w:fldChar w:fldCharType="separate"/>
      </w:r>
      <w:r w:rsidR="00361F58" w:rsidRPr="00067267">
        <w:rPr>
          <w:rFonts w:cs="Calibri"/>
          <w:noProof/>
          <w:lang w:val="en-US"/>
        </w:rPr>
        <w:t>(</w:t>
      </w:r>
      <w:hyperlink w:anchor="_References" w:history="1">
        <w:r w:rsidR="00361F58" w:rsidRPr="00067267">
          <w:rPr>
            <w:rStyle w:val="Hyperlink"/>
            <w:rFonts w:cs="Calibri"/>
            <w:noProof/>
            <w:u w:val="none"/>
            <w:lang w:val="en-US"/>
          </w:rPr>
          <w:t>Acharya</w:t>
        </w:r>
      </w:hyperlink>
      <w:r w:rsidR="00361F58" w:rsidRPr="00067267">
        <w:rPr>
          <w:rFonts w:cs="Calibri"/>
          <w:noProof/>
          <w:lang w:val="en-US"/>
        </w:rPr>
        <w:t xml:space="preserve"> </w:t>
      </w:r>
      <w:hyperlink w:anchor="_References" w:history="1">
        <w:r w:rsidRPr="00067267">
          <w:rPr>
            <w:rStyle w:val="Hyperlink"/>
            <w:rFonts w:cs="Calibri"/>
            <w:noProof/>
            <w:u w:val="none"/>
            <w:lang w:val="en-US"/>
          </w:rPr>
          <w:t>et al</w:t>
        </w:r>
        <w:r w:rsidR="00361F58" w:rsidRPr="00067267">
          <w:rPr>
            <w:rStyle w:val="Hyperlink"/>
            <w:rFonts w:cs="Calibri"/>
            <w:noProof/>
            <w:u w:val="none"/>
            <w:lang w:val="en-US"/>
          </w:rPr>
          <w:t>.</w:t>
        </w:r>
        <w:r w:rsidRPr="00067267">
          <w:rPr>
            <w:rStyle w:val="Hyperlink"/>
            <w:rFonts w:cs="Calibri"/>
            <w:noProof/>
            <w:u w:val="none"/>
            <w:lang w:val="en-US"/>
          </w:rPr>
          <w:t>, 2011</w:t>
        </w:r>
      </w:hyperlink>
      <w:r w:rsidRPr="00067267">
        <w:rPr>
          <w:rFonts w:cs="Calibri"/>
          <w:noProof/>
          <w:lang w:val="en-US"/>
        </w:rPr>
        <w:t>)</w:t>
      </w:r>
      <w:r w:rsidRPr="00067267">
        <w:rPr>
          <w:rFonts w:cs="Calibri"/>
          <w:lang w:val="en-US"/>
        </w:rPr>
        <w:fldChar w:fldCharType="end"/>
      </w:r>
      <w:r w:rsidRPr="00067267">
        <w:rPr>
          <w:rFonts w:cs="Calibri"/>
          <w:lang w:val="en-US"/>
        </w:rPr>
        <w:t xml:space="preserve">. According to </w:t>
      </w:r>
      <w:hyperlink w:anchor="_References" w:history="1">
        <w:r w:rsidRPr="00067267">
          <w:rPr>
            <w:rStyle w:val="Hyperlink"/>
            <w:rFonts w:cs="Calibri"/>
            <w:u w:val="none"/>
            <w:lang w:val="en-US"/>
          </w:rPr>
          <w:fldChar w:fldCharType="begin" w:fldLock="1"/>
        </w:r>
        <w:r w:rsidR="008147B7" w:rsidRPr="00067267">
          <w:rPr>
            <w:rStyle w:val="Hyperlink"/>
            <w:rFonts w:cs="Calibri"/>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Journal","id":"ITEM-1","issue":"3","issued":{"date-parts":[["2009"]]},"page":"301-316","title":"Fraud score analysis in emerging markets","type":"article-journal","volume":"16"},"uris":["http://www.mendeley.com/documents/?uuid=1dfbd329-9e94-4a64-af79-4f1d50601eb8"]}],"mendeley":{"formattedCitation":"(Skousen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Pr="00067267">
          <w:rPr>
            <w:rStyle w:val="Hyperlink"/>
            <w:rFonts w:cs="Calibri"/>
            <w:u w:val="none"/>
            <w:lang w:val="en-US"/>
          </w:rPr>
          <w:fldChar w:fldCharType="separate"/>
        </w:r>
        <w:r w:rsidR="00361F58" w:rsidRPr="00067267">
          <w:rPr>
            <w:rStyle w:val="Hyperlink"/>
            <w:rFonts w:cs="Calibri"/>
            <w:noProof/>
            <w:u w:val="none"/>
            <w:lang w:val="en-US"/>
          </w:rPr>
          <w:t>Skousen &amp; Twedt</w:t>
        </w:r>
        <w:r w:rsidRPr="00067267">
          <w:rPr>
            <w:rStyle w:val="Hyperlink"/>
            <w:rFonts w:cs="Calibri"/>
            <w:noProof/>
            <w:u w:val="none"/>
            <w:lang w:val="en-US"/>
          </w:rPr>
          <w:t xml:space="preserve"> (2009)</w:t>
        </w:r>
        <w:r w:rsidRPr="00067267">
          <w:rPr>
            <w:rStyle w:val="Hyperlink"/>
            <w:rFonts w:cs="Calibri"/>
            <w:u w:val="none"/>
            <w:lang w:val="en-US"/>
          </w:rPr>
          <w:fldChar w:fldCharType="end"/>
        </w:r>
      </w:hyperlink>
      <w:r w:rsidRPr="00067267">
        <w:rPr>
          <w:rFonts w:cs="Calibri"/>
          <w:lang w:val="en-US"/>
        </w:rPr>
        <w:t>.</w:t>
      </w:r>
    </w:p>
    <w:p w:rsidR="000D55BD" w:rsidRPr="00067267" w:rsidRDefault="00361F58" w:rsidP="00361F58">
      <w:pPr>
        <w:pStyle w:val="ListParagraph"/>
        <w:tabs>
          <w:tab w:val="left" w:leader="dot" w:pos="7380"/>
        </w:tabs>
        <w:ind w:left="3240"/>
        <w:rPr>
          <w:rFonts w:asciiTheme="minorHAnsi" w:hAnsiTheme="minorHAnsi" w:cstheme="minorHAnsi"/>
          <w:lang w:val="en-US"/>
        </w:rPr>
      </w:pPr>
      <m:oMath>
        <m:r>
          <m:rPr>
            <m:nor/>
          </m:rPr>
          <w:rPr>
            <w:rFonts w:asciiTheme="minorHAnsi" w:eastAsia="Calibri" w:hAnsiTheme="minorHAnsi" w:cstheme="minorHAnsi"/>
            <w:lang w:val="en-US"/>
          </w:rPr>
          <m:t>Leverage=</m:t>
        </m:r>
        <m:f>
          <m:fPr>
            <m:ctrlPr>
              <w:rPr>
                <w:rFonts w:ascii="Cambria Math" w:eastAsia="Calibri" w:hAnsi="Cambria Math" w:cstheme="minorHAnsi"/>
                <w:lang w:val="en-US"/>
              </w:rPr>
            </m:ctrlPr>
          </m:fPr>
          <m:num>
            <m:r>
              <m:rPr>
                <m:nor/>
              </m:rPr>
              <w:rPr>
                <w:rFonts w:asciiTheme="minorHAnsi" w:eastAsia="Calibri" w:hAnsiTheme="minorHAnsi" w:cstheme="minorHAnsi"/>
                <w:lang w:val="en-US"/>
              </w:rPr>
              <m:t xml:space="preserve">Total Debt </m:t>
            </m:r>
          </m:num>
          <m:den>
            <m:r>
              <m:rPr>
                <m:nor/>
              </m:rPr>
              <w:rPr>
                <w:rFonts w:asciiTheme="minorHAnsi" w:eastAsia="Calibri" w:hAnsiTheme="minorHAnsi" w:cstheme="minorHAnsi"/>
                <w:lang w:val="en-US"/>
              </w:rPr>
              <m:t>Total Assets</m:t>
            </m:r>
          </m:den>
        </m:f>
      </m:oMath>
      <w:r w:rsidRPr="00067267">
        <w:rPr>
          <w:rFonts w:asciiTheme="minorHAnsi" w:hAnsiTheme="minorHAnsi" w:cstheme="minorHAnsi"/>
          <w:lang w:val="en-US"/>
        </w:rPr>
        <w:tab/>
        <w:t>(6)</w:t>
      </w:r>
    </w:p>
    <w:p w:rsidR="000D55BD" w:rsidRPr="00067267" w:rsidRDefault="000D55BD" w:rsidP="00361F58">
      <w:pPr>
        <w:pStyle w:val="ListParagraph"/>
        <w:ind w:left="0" w:firstLine="720"/>
        <w:jc w:val="both"/>
        <w:rPr>
          <w:rFonts w:cs="Calibri"/>
          <w:lang w:val="en-US"/>
        </w:rPr>
      </w:pPr>
      <w:r w:rsidRPr="00067267">
        <w:rPr>
          <w:rFonts w:cs="Calibri"/>
          <w:lang w:val="en-US"/>
        </w:rPr>
        <w:t xml:space="preserve">Financial targets or corporate financial targets are used return on assets. According to </w:t>
      </w:r>
      <w:hyperlink w:anchor="_References" w:history="1">
        <w:r w:rsidRPr="00067267">
          <w:rPr>
            <w:rStyle w:val="Hyperlink"/>
            <w:rFonts w:cs="Calibri"/>
            <w:u w:val="none"/>
            <w:lang w:val="en-US"/>
          </w:rPr>
          <w:fldChar w:fldCharType="begin" w:fldLock="1"/>
        </w:r>
        <w:r w:rsidR="008147B7" w:rsidRPr="00067267">
          <w:rPr>
            <w:rStyle w:val="Hyperlink"/>
            <w:rFonts w:cs="Calibri"/>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Journal","id":"ITEM-1","issue":"3","issued":{"date-parts":[["2009"]]},"page":"301-316","title":"Fraud score analysis in emerging markets","type":"article-journal","volume":"16"},"uris":["http://www.mendeley.com/documents/?uuid=1dfbd329-9e94-4a64-af79-4f1d50601eb8"]}],"mendeley":{"formattedCitation":"(Skousen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Pr="00067267">
          <w:rPr>
            <w:rStyle w:val="Hyperlink"/>
            <w:rFonts w:cs="Calibri"/>
            <w:u w:val="none"/>
            <w:lang w:val="en-US"/>
          </w:rPr>
          <w:fldChar w:fldCharType="separate"/>
        </w:r>
        <w:r w:rsidRPr="00067267">
          <w:rPr>
            <w:rStyle w:val="Hyperlink"/>
            <w:rFonts w:cs="Calibri"/>
            <w:noProof/>
            <w:u w:val="none"/>
            <w:lang w:val="en-US"/>
          </w:rPr>
          <w:t>Skousen &amp; Twedt, (2009)</w:t>
        </w:r>
        <w:r w:rsidRPr="00067267">
          <w:rPr>
            <w:rStyle w:val="Hyperlink"/>
            <w:rFonts w:cs="Calibri"/>
            <w:u w:val="none"/>
            <w:lang w:val="en-US"/>
          </w:rPr>
          <w:fldChar w:fldCharType="end"/>
        </w:r>
      </w:hyperlink>
      <w:r w:rsidRPr="00067267">
        <w:rPr>
          <w:rFonts w:cs="Calibri"/>
          <w:lang w:val="en-US"/>
        </w:rPr>
        <w:t xml:space="preserve"> return on assets is used to assess management performance and in determining bonuses and increasing compensation f</w:t>
      </w:r>
      <w:r w:rsidR="00361F58" w:rsidRPr="00067267">
        <w:rPr>
          <w:rFonts w:cs="Calibri"/>
          <w:lang w:val="en-US"/>
        </w:rPr>
        <w:t>or management.</w:t>
      </w:r>
    </w:p>
    <w:p w:rsidR="000D55BD" w:rsidRPr="00067267" w:rsidRDefault="00361F58" w:rsidP="00361F58">
      <w:pPr>
        <w:pStyle w:val="ListParagraph"/>
        <w:tabs>
          <w:tab w:val="left" w:leader="dot" w:pos="7380"/>
        </w:tabs>
        <w:ind w:left="2430"/>
        <w:rPr>
          <w:rFonts w:asciiTheme="minorHAnsi" w:hAnsiTheme="minorHAnsi" w:cstheme="minorHAnsi"/>
          <w:lang w:val="en-US"/>
        </w:rPr>
      </w:pPr>
      <m:oMath>
        <m:r>
          <m:rPr>
            <m:nor/>
          </m:rPr>
          <w:rPr>
            <w:rFonts w:asciiTheme="minorHAnsi" w:eastAsia="Calibri" w:hAnsiTheme="minorHAnsi" w:cstheme="minorHAnsi"/>
            <w:lang w:val="en-US"/>
          </w:rPr>
          <m:t>Financial targets (ROA)=</m:t>
        </m:r>
        <m:f>
          <m:fPr>
            <m:ctrlPr>
              <w:rPr>
                <w:rFonts w:ascii="Cambria Math" w:eastAsia="Calibri" w:hAnsi="Cambria Math" w:cstheme="minorHAnsi"/>
                <w:lang w:val="en-US"/>
              </w:rPr>
            </m:ctrlPr>
          </m:fPr>
          <m:num>
            <m:r>
              <m:rPr>
                <m:nor/>
              </m:rPr>
              <w:rPr>
                <w:rFonts w:asciiTheme="minorHAnsi" w:eastAsia="Calibri" w:hAnsiTheme="minorHAnsi" w:cstheme="minorHAnsi"/>
                <w:lang w:val="en-US"/>
              </w:rPr>
              <m:t>Net Profit After Taxes</m:t>
            </m:r>
          </m:num>
          <m:den>
            <m:r>
              <m:rPr>
                <m:nor/>
              </m:rPr>
              <w:rPr>
                <w:rFonts w:asciiTheme="minorHAnsi" w:eastAsia="Calibri" w:hAnsiTheme="minorHAnsi" w:cstheme="minorHAnsi"/>
                <w:lang w:val="en-US"/>
              </w:rPr>
              <m:t>Total Assets</m:t>
            </m:r>
          </m:den>
        </m:f>
      </m:oMath>
      <w:r w:rsidRPr="00067267">
        <w:rPr>
          <w:rFonts w:asciiTheme="minorHAnsi" w:hAnsiTheme="minorHAnsi" w:cstheme="minorHAnsi"/>
          <w:lang w:val="en-US"/>
        </w:rPr>
        <w:tab/>
        <w:t>(7)</w:t>
      </w:r>
    </w:p>
    <w:p w:rsidR="000D55BD" w:rsidRPr="00067267" w:rsidRDefault="000D55BD" w:rsidP="00361F58">
      <w:pPr>
        <w:pStyle w:val="ListParagraph"/>
        <w:ind w:left="0" w:firstLine="720"/>
        <w:jc w:val="both"/>
        <w:rPr>
          <w:rFonts w:cs="Calibri"/>
          <w:lang w:val="en-US"/>
        </w:rPr>
      </w:pPr>
      <w:r w:rsidRPr="00067267">
        <w:rPr>
          <w:rFonts w:cs="Calibri"/>
          <w:lang w:val="en-US"/>
        </w:rPr>
        <w:t>Effective monitoring indicates that companies that commit fraud have fewer members of independent commissioners than comp</w:t>
      </w:r>
      <w:r w:rsidR="00361F58" w:rsidRPr="00067267">
        <w:rPr>
          <w:rFonts w:cs="Calibri"/>
          <w:lang w:val="en-US"/>
        </w:rPr>
        <w:t>anies that do not commit fraud.</w:t>
      </w:r>
    </w:p>
    <w:p w:rsidR="000D55BD" w:rsidRPr="00067267" w:rsidRDefault="00361F58" w:rsidP="00361F58">
      <w:pPr>
        <w:pStyle w:val="ListParagraph"/>
        <w:tabs>
          <w:tab w:val="left" w:leader="dot" w:pos="7380"/>
        </w:tabs>
        <w:ind w:left="1530"/>
        <w:rPr>
          <w:rFonts w:cs="Calibri"/>
          <w:lang w:val="en-US"/>
        </w:rPr>
      </w:pPr>
      <m:oMath>
        <m:r>
          <m:rPr>
            <m:nor/>
          </m:rPr>
          <w:rPr>
            <w:rFonts w:eastAsia="Calibri" w:cs="Calibri"/>
            <w:lang w:val="en-US"/>
          </w:rPr>
          <m:t>Effective Monitoring (KIND)=</m:t>
        </m:r>
        <m:f>
          <m:fPr>
            <m:ctrlPr>
              <w:rPr>
                <w:rFonts w:ascii="Cambria Math" w:eastAsia="Calibri" w:hAnsi="Cambria Math" w:cs="Calibri"/>
                <w:lang w:val="en-US"/>
              </w:rPr>
            </m:ctrlPr>
          </m:fPr>
          <m:num>
            <m:r>
              <m:rPr>
                <m:nor/>
              </m:rPr>
              <w:rPr>
                <w:rFonts w:eastAsia="Calibri" w:cs="Calibri"/>
                <w:lang w:val="en-US"/>
              </w:rPr>
              <m:t>Total Independent of commisioner</m:t>
            </m:r>
          </m:num>
          <m:den>
            <m:r>
              <m:rPr>
                <m:nor/>
              </m:rPr>
              <w:rPr>
                <w:rFonts w:eastAsia="Calibri" w:cs="Calibri"/>
                <w:lang w:val="en-US"/>
              </w:rPr>
              <m:t>Total Commisioner</m:t>
            </m:r>
          </m:den>
        </m:f>
      </m:oMath>
      <w:r w:rsidRPr="00067267">
        <w:rPr>
          <w:rFonts w:cs="Calibri"/>
          <w:lang w:val="en-US"/>
        </w:rPr>
        <w:tab/>
        <w:t>(8)</w:t>
      </w:r>
    </w:p>
    <w:p w:rsidR="000D55BD" w:rsidRPr="00067267" w:rsidRDefault="000D55BD" w:rsidP="00540543">
      <w:pPr>
        <w:pStyle w:val="ListParagraph"/>
        <w:ind w:left="0" w:firstLine="720"/>
        <w:jc w:val="both"/>
        <w:rPr>
          <w:rFonts w:cs="Calibri"/>
          <w:lang w:val="en-US"/>
        </w:rPr>
      </w:pPr>
      <w:r w:rsidRPr="00067267">
        <w:rPr>
          <w:rFonts w:cs="Calibri"/>
          <w:lang w:val="en-US"/>
        </w:rPr>
        <w:t xml:space="preserve">Accruals in this study use total accruals to total assets (TATA). According to </w:t>
      </w:r>
      <w:hyperlink w:anchor="_References" w:history="1">
        <w:r w:rsidRPr="00067267">
          <w:rPr>
            <w:rStyle w:val="Hyperlink"/>
            <w:rFonts w:cs="Calibri"/>
            <w:u w:val="none"/>
            <w:lang w:val="en-US"/>
          </w:rPr>
          <w:fldChar w:fldCharType="begin" w:fldLock="1"/>
        </w:r>
        <w:r w:rsidR="00BE1B00" w:rsidRPr="00067267">
          <w:rPr>
            <w:rStyle w:val="Hyperlink"/>
            <w:rFonts w:cs="Calibri"/>
            <w:u w:val="none"/>
            <w:lang w:val="en-US"/>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Returns","type":"article-journal"},"uris":["http://www.mendeley.com/documents/?uuid=f12073ff-a9b7-4056-b2ea-a10c1ad9943a"]}],"mendeley":{"formattedCitation":"(M. Beneish et al., 2012)","manualFormatting":"Beneish, Lee, &amp; Nichols, (2012)","plainTextFormattedCitation":"(M. Beneish et al., 2012)","previouslyFormattedCitation":"(M. Beneish et al., 2012)"},"properties":{"noteIndex":0},"schema":"https://github.com/citation-style-language/schema/raw/master/csl-citation.json"}</w:instrText>
        </w:r>
        <w:r w:rsidRPr="00067267">
          <w:rPr>
            <w:rStyle w:val="Hyperlink"/>
            <w:rFonts w:cs="Calibri"/>
            <w:u w:val="none"/>
            <w:lang w:val="en-US"/>
          </w:rPr>
          <w:fldChar w:fldCharType="separate"/>
        </w:r>
        <w:r w:rsidRPr="00067267">
          <w:rPr>
            <w:rStyle w:val="Hyperlink"/>
            <w:rFonts w:cs="Calibri"/>
            <w:noProof/>
            <w:u w:val="none"/>
            <w:lang w:val="en-US"/>
          </w:rPr>
          <w:t>Beneish, Lee, &amp; Nichols, (2012)</w:t>
        </w:r>
        <w:r w:rsidRPr="00067267">
          <w:rPr>
            <w:rStyle w:val="Hyperlink"/>
            <w:rFonts w:cs="Calibri"/>
            <w:u w:val="none"/>
            <w:lang w:val="en-US"/>
          </w:rPr>
          <w:fldChar w:fldCharType="end"/>
        </w:r>
      </w:hyperlink>
      <w:r w:rsidRPr="00067267">
        <w:rPr>
          <w:rFonts w:cs="Calibri"/>
          <w:lang w:val="en-US"/>
        </w:rPr>
        <w:t xml:space="preserve"> this ratio indicates the portion of accounting profit that is not supported by cash profit. This means that management adheres to an accrual policy that makes profit or income can be recognized more quickly than is reasonable. Income before extraordinary items are taken from earnings after tax.</w:t>
      </w:r>
    </w:p>
    <w:p w:rsidR="000D55BD" w:rsidRPr="00067267" w:rsidRDefault="00361F58" w:rsidP="00540543">
      <w:pPr>
        <w:pStyle w:val="ListParagraph"/>
        <w:tabs>
          <w:tab w:val="left" w:leader="dot" w:pos="7380"/>
        </w:tabs>
        <w:ind w:left="2070"/>
        <w:rPr>
          <w:rFonts w:cs="Calibri"/>
          <w:lang w:val="en-US"/>
        </w:rPr>
      </w:pPr>
      <m:oMath>
        <m:r>
          <m:rPr>
            <m:nor/>
          </m:rPr>
          <w:rPr>
            <w:rFonts w:eastAsia="Calibri" w:cs="Calibri"/>
            <w:lang w:val="en-US"/>
          </w:rPr>
          <m:t>Accruals (TATA)=</m:t>
        </m:r>
        <m:f>
          <m:fPr>
            <m:ctrlPr>
              <w:rPr>
                <w:rFonts w:ascii="Cambria Math" w:eastAsia="Calibri" w:hAnsi="Cambria Math" w:cs="Calibri"/>
                <w:lang w:val="en-US"/>
              </w:rPr>
            </m:ctrlPr>
          </m:fPr>
          <m:num>
            <m:r>
              <m:rPr>
                <m:nor/>
              </m:rPr>
              <w:rPr>
                <w:rFonts w:eastAsia="Calibri" w:cs="Calibri"/>
                <w:lang w:val="en-US"/>
              </w:rPr>
              <m:t>Earnings After Tax-Cash from operations</m:t>
            </m:r>
          </m:num>
          <m:den>
            <m:r>
              <m:rPr>
                <m:nor/>
              </m:rPr>
              <w:rPr>
                <w:rFonts w:eastAsia="Calibri" w:cs="Calibri"/>
                <w:lang w:val="en-US"/>
              </w:rPr>
              <m:t>Total Assets</m:t>
            </m:r>
          </m:den>
        </m:f>
      </m:oMath>
      <w:r w:rsidRPr="00067267">
        <w:rPr>
          <w:rFonts w:cs="Calibri"/>
          <w:lang w:val="en-US"/>
        </w:rPr>
        <w:tab/>
        <w:t>(9)</w:t>
      </w:r>
    </w:p>
    <w:p w:rsidR="00BA2EA3" w:rsidRPr="00067267" w:rsidRDefault="000D55BD" w:rsidP="00FC41C2">
      <w:pPr>
        <w:pStyle w:val="ListParagraph"/>
        <w:spacing w:after="0" w:line="240" w:lineRule="auto"/>
        <w:ind w:left="0" w:firstLine="720"/>
        <w:jc w:val="both"/>
        <w:rPr>
          <w:rFonts w:cs="Calibri"/>
          <w:lang w:val="en-US"/>
        </w:rPr>
      </w:pPr>
      <w:r w:rsidRPr="00067267">
        <w:rPr>
          <w:rFonts w:cs="Calibri"/>
          <w:lang w:val="en-US"/>
        </w:rPr>
        <w:t xml:space="preserve">The technology integration variable as moderation in this study uses the Industry 4.0 model by </w:t>
      </w:r>
      <w:hyperlink w:anchor="_References" w:history="1">
        <w:r w:rsidRPr="00067267">
          <w:rPr>
            <w:rStyle w:val="Hyperlink"/>
            <w:rFonts w:cs="Calibri"/>
            <w:u w:val="none"/>
            <w:lang w:val="en-US"/>
          </w:rPr>
          <w:t>Kagermann et al (2013)</w:t>
        </w:r>
      </w:hyperlink>
      <w:r w:rsidRPr="00067267">
        <w:rPr>
          <w:rFonts w:cs="Calibri"/>
          <w:lang w:val="en-US"/>
        </w:rPr>
        <w:t xml:space="preserve">. The model used uses 3 aspects of Industry 4.0 application, namely first, technology integration in various stages of the manufacturing process or business planning process (horizontal integration through systems); second, vertical integration and networked manufacturing systems; third, end to end digital integration of engineering across the entire value chain. The application of technology integration in this study was measured by dummy variables. Companies that apply one of the three aspects of industry 4.0 are coded 1 (one) while those who do not apply are coded 0 (zero). The moderation test uses a subgroup analysis test. According to </w:t>
      </w:r>
      <w:hyperlink w:anchor="_References" w:history="1">
        <w:r w:rsidRPr="00067267">
          <w:rPr>
            <w:rStyle w:val="Hyperlink"/>
            <w:rFonts w:cs="Calibri"/>
            <w:u w:val="none"/>
            <w:lang w:val="en-US"/>
          </w:rPr>
          <w:fldChar w:fldCharType="begin" w:fldLock="1"/>
        </w:r>
        <w:r w:rsidR="00455B8D" w:rsidRPr="00067267">
          <w:rPr>
            <w:rStyle w:val="Hyperlink"/>
            <w:rFonts w:cs="Calibri"/>
            <w:u w:val="none"/>
            <w:lang w:val="en-US"/>
          </w:rPr>
          <w:instrText>ADDIN CSL_CITATION {"citationItems":[{"id":"ITEM-1","itemData":{"ISBN":"9780511993398","ISSN":"00219606","PMID":"19791887","abstract":"The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striatum.","author":[{"dropping-particle":"","family":"Ghozali","given":"Imam.","non-dropping-particle":"","parse-names":false,"suffix":""}],"id":"ITEM-1","issued":{"date-parts":[["2016"]]},"publisher":"BPFE Universitas Diponegoro.","title":"Aplikasi Analisis Multivariate dengan Program IBM SPSS 23","type":"book"},"uris":["http://www.mendeley.com/documents/?uuid=8b8e9aa6-bd65-456c-8cc7-33e62d1f7d26"]}],"mendeley":{"formattedCitation":"(Ghozali, 2016)","manualFormatting":"Ghozali, (2016)","plainTextFormattedCitation":"(Ghozali, 2016)","previouslyFormattedCitation":"(Ghozali, 2016)"},"properties":{"noteIndex":0},"schema":"https://github.com/citation-style-language/schema/raw/master/csl-citation.json"}</w:instrText>
        </w:r>
        <w:r w:rsidRPr="00067267">
          <w:rPr>
            <w:rStyle w:val="Hyperlink"/>
            <w:rFonts w:cs="Calibri"/>
            <w:u w:val="none"/>
            <w:lang w:val="en-US"/>
          </w:rPr>
          <w:fldChar w:fldCharType="separate"/>
        </w:r>
        <w:r w:rsidRPr="00067267">
          <w:rPr>
            <w:rStyle w:val="Hyperlink"/>
            <w:rFonts w:cs="Calibri"/>
            <w:noProof/>
            <w:u w:val="none"/>
            <w:lang w:val="en-US"/>
          </w:rPr>
          <w:t xml:space="preserve">Ghozali, </w:t>
        </w:r>
        <w:r w:rsidRPr="00067267">
          <w:rPr>
            <w:rStyle w:val="Hyperlink"/>
            <w:rFonts w:cs="Calibri"/>
            <w:noProof/>
            <w:u w:val="none"/>
            <w:lang w:val="en-US"/>
          </w:rPr>
          <w:lastRenderedPageBreak/>
          <w:t>(2016)</w:t>
        </w:r>
        <w:r w:rsidRPr="00067267">
          <w:rPr>
            <w:rStyle w:val="Hyperlink"/>
            <w:rFonts w:cs="Calibri"/>
            <w:u w:val="none"/>
            <w:lang w:val="en-US"/>
          </w:rPr>
          <w:fldChar w:fldCharType="end"/>
        </w:r>
      </w:hyperlink>
      <w:r w:rsidRPr="00067267">
        <w:rPr>
          <w:rFonts w:cs="Calibri"/>
          <w:lang w:val="en-US"/>
        </w:rPr>
        <w:t>, subgroup analysis is used to identify the presence or absence of homologizer moderator types.</w:t>
      </w:r>
    </w:p>
    <w:p w:rsidR="007547BB" w:rsidRPr="00067267" w:rsidRDefault="00866B0F" w:rsidP="00866B0F">
      <w:pPr>
        <w:spacing w:after="0"/>
        <w:ind w:firstLine="720"/>
        <w:jc w:val="both"/>
        <w:rPr>
          <w:rFonts w:cs="Calibri"/>
          <w:lang w:val="en-US"/>
        </w:rPr>
      </w:pPr>
      <w:r w:rsidRPr="00067267">
        <w:rPr>
          <w:rFonts w:cs="Calibri"/>
          <w:lang w:val="en-US"/>
        </w:rPr>
        <w:t xml:space="preserve">The technology integration variable as moderation in this study uses the Industry 4.0 model by </w:t>
      </w:r>
      <w:hyperlink w:anchor="_References_1" w:history="1">
        <w:r w:rsidRPr="00067267">
          <w:rPr>
            <w:rStyle w:val="Hyperlink"/>
            <w:rFonts w:cs="Calibri"/>
            <w:u w:val="none"/>
            <w:lang w:val="en-US"/>
          </w:rPr>
          <w:t>Kagermann et al</w:t>
        </w:r>
        <w:r w:rsidR="003E3538" w:rsidRPr="00067267">
          <w:rPr>
            <w:rStyle w:val="Hyperlink"/>
            <w:rFonts w:cs="Calibri"/>
            <w:u w:val="none"/>
            <w:lang w:val="en-US"/>
          </w:rPr>
          <w:t>.</w:t>
        </w:r>
        <w:r w:rsidRPr="00067267">
          <w:rPr>
            <w:rStyle w:val="Hyperlink"/>
            <w:rFonts w:cs="Calibri"/>
            <w:u w:val="none"/>
            <w:lang w:val="en-US"/>
          </w:rPr>
          <w:t xml:space="preserve"> (2013)</w:t>
        </w:r>
      </w:hyperlink>
      <w:r w:rsidRPr="00067267">
        <w:rPr>
          <w:rFonts w:cs="Calibri"/>
          <w:lang w:val="en-US"/>
        </w:rPr>
        <w:t xml:space="preserve">. The model used uses 3 aspects of Industry 4.0 application, namely first, technology integration in various stages of the manufacturing process or business planning process (horizontal integration through systems); second, vertical integration and networked manufacturing systems; third, end to end digital integration of engineering across the entire value chain. The application of technology integration in this study was measured by dummy variables. Companies that apply one of the three aspects of industry 4.0 are coded 1 (one) while those who do not apply are coded 0 (zero). The moderation test uses a subgroup analysis test. According to </w:t>
      </w:r>
      <w:hyperlink w:anchor="_References_1" w:history="1">
        <w:r w:rsidRPr="00067267">
          <w:rPr>
            <w:rStyle w:val="Hyperlink"/>
            <w:rFonts w:cs="Calibri"/>
            <w:u w:val="none"/>
            <w:lang w:val="en-US"/>
          </w:rPr>
          <w:fldChar w:fldCharType="begin" w:fldLock="1"/>
        </w:r>
        <w:r w:rsidRPr="00067267">
          <w:rPr>
            <w:rStyle w:val="Hyperlink"/>
            <w:rFonts w:cs="Calibri"/>
            <w:u w:val="none"/>
            <w:lang w:val="en-US"/>
          </w:rPr>
          <w:instrText>ADDIN CSL_CITATION {"citationItems":[{"id":"ITEM-1","itemData":{"DOI":"https://doi.org/10.3929/ethz-b-000238666","ISBN":"9780511993398","ISSN":"00219606","PMID":"19791887","abstract":"The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striatum.","author":[{"dropping-particle":"","family":"Ghozali","given":"Imam.","non-dropping-particle":"","parse-names":false,"suffix":""}],"container-title":"IOSR Journal of Economics and Finance","id":"ITEM-1","issued":{"date-parts":[["2016"]]},"title":"Ghozali, Imam. (2016). Aplikasi Analisis Multivariate dengan Program IBM SPSS 23. Semarang: BPFE Universitas Diponegoro.","type":"article-journal"},"uris":["http://www.mendeley.com/documents/?uuid=d1112d9f-a3b1-41f8-a32b-4af6faa15f9e"]}],"mendeley":{"formattedCitation":"(Ghozali, 2016)","manualFormatting":"Ghozali, ( 2016)","plainTextFormattedCitation":"(Ghozali, 2016)","previouslyFormattedCitation":"(Ghozali, 2016)"},"properties":{"noteIndex":0},"schema":"https://github.com/citation-style-language/schema/raw/master/csl-citation.json"}</w:instrText>
        </w:r>
        <w:r w:rsidRPr="00067267">
          <w:rPr>
            <w:rStyle w:val="Hyperlink"/>
            <w:rFonts w:cs="Calibri"/>
            <w:u w:val="none"/>
            <w:lang w:val="en-US"/>
          </w:rPr>
          <w:fldChar w:fldCharType="separate"/>
        </w:r>
        <w:r w:rsidRPr="00067267">
          <w:rPr>
            <w:rStyle w:val="Hyperlink"/>
            <w:rFonts w:cs="Calibri"/>
            <w:u w:val="none"/>
            <w:lang w:val="en-US"/>
          </w:rPr>
          <w:t>Ghozali, (2016)</w:t>
        </w:r>
        <w:r w:rsidRPr="00067267">
          <w:rPr>
            <w:rStyle w:val="Hyperlink"/>
            <w:rFonts w:cs="Calibri"/>
            <w:u w:val="none"/>
            <w:lang w:val="en-US"/>
          </w:rPr>
          <w:fldChar w:fldCharType="end"/>
        </w:r>
      </w:hyperlink>
      <w:r w:rsidRPr="00067267">
        <w:rPr>
          <w:rFonts w:cs="Calibri"/>
          <w:lang w:val="en-US"/>
        </w:rPr>
        <w:t xml:space="preserve">, subgroup analysis is used to identify the presence or absence of homologizer moderator types.  Information of integration technology industry 4.0 is obtained from annual report </w:t>
      </w:r>
    </w:p>
    <w:p w:rsidR="00866B0F" w:rsidRPr="00067267" w:rsidRDefault="00866B0F" w:rsidP="00866B0F">
      <w:pPr>
        <w:spacing w:after="0"/>
        <w:ind w:firstLine="720"/>
        <w:jc w:val="both"/>
        <w:rPr>
          <w:rFonts w:cs="Calibri"/>
          <w:lang w:val="en-US"/>
        </w:rPr>
      </w:pPr>
    </w:p>
    <w:p w:rsidR="00280AB8" w:rsidRPr="00067267" w:rsidRDefault="00280AB8" w:rsidP="00866B0F">
      <w:pPr>
        <w:pStyle w:val="ListParagraph"/>
        <w:spacing w:after="0" w:line="240" w:lineRule="auto"/>
        <w:ind w:left="0"/>
        <w:contextualSpacing w:val="0"/>
        <w:rPr>
          <w:rFonts w:cs="Calibri"/>
          <w:b/>
          <w:sz w:val="28"/>
          <w:lang w:val="en-US"/>
        </w:rPr>
      </w:pPr>
      <w:r w:rsidRPr="00067267">
        <w:rPr>
          <w:rFonts w:cs="Calibri"/>
          <w:b/>
          <w:sz w:val="28"/>
          <w:lang w:val="en-US"/>
        </w:rPr>
        <w:t>Result and Discussion</w:t>
      </w:r>
    </w:p>
    <w:tbl>
      <w:tblPr>
        <w:tblStyle w:val="TableGrid"/>
        <w:tblpPr w:leftFromText="187" w:rightFromText="187" w:vertAnchor="page" w:horzAnchor="margin" w:tblpY="9691"/>
        <w:tblOverlap w:val="never"/>
        <w:tblW w:w="5000" w:type="pct"/>
        <w:tblLook w:val="04A0" w:firstRow="1" w:lastRow="0" w:firstColumn="1" w:lastColumn="0" w:noHBand="0" w:noVBand="1"/>
      </w:tblPr>
      <w:tblGrid>
        <w:gridCol w:w="1462"/>
        <w:gridCol w:w="1379"/>
        <w:gridCol w:w="1268"/>
        <w:gridCol w:w="1273"/>
        <w:gridCol w:w="1295"/>
        <w:gridCol w:w="1259"/>
      </w:tblGrid>
      <w:tr w:rsidR="00866B0F" w:rsidRPr="00067267" w:rsidTr="00866B0F">
        <w:tc>
          <w:tcPr>
            <w:tcW w:w="5000" w:type="pct"/>
            <w:gridSpan w:val="6"/>
            <w:tcBorders>
              <w:top w:val="nil"/>
              <w:left w:val="nil"/>
              <w:bottom w:val="single" w:sz="4" w:space="0" w:color="auto"/>
              <w:right w:val="nil"/>
            </w:tcBorders>
          </w:tcPr>
          <w:p w:rsidR="00866B0F" w:rsidRPr="00067267" w:rsidRDefault="00866B0F" w:rsidP="00866B0F">
            <w:pPr>
              <w:pStyle w:val="Heading1"/>
              <w:rPr>
                <w:szCs w:val="22"/>
              </w:rPr>
            </w:pPr>
            <w:r w:rsidRPr="00067267">
              <w:rPr>
                <w:szCs w:val="22"/>
              </w:rPr>
              <w:t>Table 1. Descriptive Statistics</w:t>
            </w:r>
          </w:p>
        </w:tc>
      </w:tr>
      <w:tr w:rsidR="00866B0F" w:rsidRPr="00067267" w:rsidTr="00866B0F">
        <w:tc>
          <w:tcPr>
            <w:tcW w:w="1790" w:type="pct"/>
            <w:gridSpan w:val="2"/>
            <w:tcBorders>
              <w:top w:val="single" w:sz="4" w:space="0" w:color="auto"/>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Variables</w:t>
            </w:r>
          </w:p>
          <w:p w:rsidR="00866B0F" w:rsidRPr="00067267" w:rsidRDefault="00866B0F" w:rsidP="00866B0F">
            <w:pPr>
              <w:pStyle w:val="ListParagraph"/>
              <w:spacing w:after="0" w:line="240" w:lineRule="auto"/>
              <w:ind w:left="0"/>
              <w:jc w:val="both"/>
              <w:rPr>
                <w:rFonts w:cs="Calibri"/>
              </w:rPr>
            </w:pPr>
            <w:r w:rsidRPr="00067267">
              <w:rPr>
                <w:rFonts w:cs="Calibri"/>
              </w:rPr>
              <w:t>Sub categorized</w:t>
            </w:r>
          </w:p>
        </w:tc>
        <w:tc>
          <w:tcPr>
            <w:tcW w:w="799" w:type="pct"/>
            <w:tcBorders>
              <w:top w:val="single" w:sz="4" w:space="0" w:color="auto"/>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Min</w:t>
            </w:r>
          </w:p>
        </w:tc>
        <w:tc>
          <w:tcPr>
            <w:tcW w:w="802" w:type="pct"/>
            <w:tcBorders>
              <w:top w:val="single" w:sz="4" w:space="0" w:color="auto"/>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Max</w:t>
            </w:r>
          </w:p>
        </w:tc>
        <w:tc>
          <w:tcPr>
            <w:tcW w:w="816" w:type="pct"/>
            <w:tcBorders>
              <w:top w:val="single" w:sz="4" w:space="0" w:color="auto"/>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Mean</w:t>
            </w:r>
          </w:p>
        </w:tc>
        <w:tc>
          <w:tcPr>
            <w:tcW w:w="793" w:type="pct"/>
            <w:tcBorders>
              <w:top w:val="single" w:sz="4" w:space="0" w:color="auto"/>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Std</w:t>
            </w:r>
          </w:p>
        </w:tc>
      </w:tr>
      <w:tr w:rsidR="00866B0F" w:rsidRPr="00067267" w:rsidTr="00866B0F">
        <w:tc>
          <w:tcPr>
            <w:tcW w:w="921" w:type="pct"/>
            <w:vMerge w:val="restar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FINST</w:t>
            </w:r>
          </w:p>
        </w:tc>
        <w:tc>
          <w:tcPr>
            <w:tcW w:w="869"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Fraud</w:t>
            </w:r>
          </w:p>
        </w:tc>
        <w:tc>
          <w:tcPr>
            <w:tcW w:w="799"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-0438</w:t>
            </w:r>
          </w:p>
        </w:tc>
        <w:tc>
          <w:tcPr>
            <w:tcW w:w="802"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0.620</w:t>
            </w:r>
          </w:p>
        </w:tc>
        <w:tc>
          <w:tcPr>
            <w:tcW w:w="816"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0.125</w:t>
            </w:r>
          </w:p>
        </w:tc>
        <w:tc>
          <w:tcPr>
            <w:tcW w:w="793"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0.213</w:t>
            </w:r>
          </w:p>
        </w:tc>
      </w:tr>
      <w:tr w:rsidR="00866B0F" w:rsidRPr="00067267" w:rsidTr="00866B0F">
        <w:tc>
          <w:tcPr>
            <w:tcW w:w="921" w:type="pct"/>
            <w:vMerge/>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Non 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-0.148</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0.282</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0.055</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0.104</w:t>
            </w:r>
          </w:p>
        </w:tc>
      </w:tr>
      <w:tr w:rsidR="00866B0F" w:rsidRPr="00067267" w:rsidTr="00866B0F">
        <w:tc>
          <w:tcPr>
            <w:tcW w:w="921"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Total</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-0.338</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0.620</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0.067</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0.147</w:t>
            </w:r>
          </w:p>
        </w:tc>
      </w:tr>
      <w:tr w:rsidR="00866B0F" w:rsidRPr="00067267" w:rsidTr="00866B0F">
        <w:tc>
          <w:tcPr>
            <w:tcW w:w="921" w:type="pct"/>
            <w:vMerge w:val="restar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LEV</w:t>
            </w: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0.098</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0.704</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0.443</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0.184</w:t>
            </w:r>
          </w:p>
        </w:tc>
      </w:tr>
      <w:tr w:rsidR="00866B0F" w:rsidRPr="00067267" w:rsidTr="00866B0F">
        <w:tc>
          <w:tcPr>
            <w:tcW w:w="921" w:type="pct"/>
            <w:vMerge/>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Non 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0.091</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0.994</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0.443</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0.199</w:t>
            </w:r>
          </w:p>
        </w:tc>
      </w:tr>
      <w:tr w:rsidR="00866B0F" w:rsidRPr="00067267" w:rsidTr="00866B0F">
        <w:tc>
          <w:tcPr>
            <w:tcW w:w="921"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Total</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0.091</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0.994</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0.443</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0.194</w:t>
            </w:r>
          </w:p>
        </w:tc>
      </w:tr>
      <w:tr w:rsidR="00866B0F" w:rsidRPr="00067267" w:rsidTr="00866B0F">
        <w:tc>
          <w:tcPr>
            <w:tcW w:w="921" w:type="pct"/>
            <w:vMerge w:val="restar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ROA</w:t>
            </w: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-0.022</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0.716</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0.084</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0.166</w:t>
            </w:r>
          </w:p>
        </w:tc>
      </w:tr>
      <w:tr w:rsidR="00866B0F" w:rsidRPr="00067267" w:rsidTr="00866B0F">
        <w:tc>
          <w:tcPr>
            <w:tcW w:w="921" w:type="pct"/>
            <w:vMerge/>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Non 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-0.097</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0.212</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0.049</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0.067</w:t>
            </w:r>
          </w:p>
        </w:tc>
      </w:tr>
      <w:tr w:rsidR="00866B0F" w:rsidRPr="00067267" w:rsidTr="00866B0F">
        <w:tc>
          <w:tcPr>
            <w:tcW w:w="921"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Total</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-0.097</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0.716</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0.060</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0.109</w:t>
            </w:r>
          </w:p>
        </w:tc>
      </w:tr>
      <w:tr w:rsidR="00866B0F" w:rsidRPr="00067267" w:rsidTr="00866B0F">
        <w:tc>
          <w:tcPr>
            <w:tcW w:w="921" w:type="pct"/>
            <w:vMerge w:val="restar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KIND</w:t>
            </w: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0.167</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0.500</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0.371</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0.086</w:t>
            </w:r>
          </w:p>
        </w:tc>
      </w:tr>
      <w:tr w:rsidR="00866B0F" w:rsidRPr="00067267" w:rsidTr="00866B0F">
        <w:tc>
          <w:tcPr>
            <w:tcW w:w="921" w:type="pct"/>
            <w:vMerge/>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Non 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0.200</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0.500</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0.375</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0.071</w:t>
            </w:r>
          </w:p>
        </w:tc>
      </w:tr>
      <w:tr w:rsidR="00866B0F" w:rsidRPr="00067267" w:rsidTr="00866B0F">
        <w:tc>
          <w:tcPr>
            <w:tcW w:w="921"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Total</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0.167</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0.500</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0.374</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0.076</w:t>
            </w:r>
          </w:p>
        </w:tc>
      </w:tr>
      <w:tr w:rsidR="00866B0F" w:rsidRPr="00067267" w:rsidTr="00866B0F">
        <w:tc>
          <w:tcPr>
            <w:tcW w:w="921" w:type="pct"/>
            <w:vMerge w:val="restar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ACCRUALS</w:t>
            </w:r>
          </w:p>
        </w:tc>
        <w:tc>
          <w:tcPr>
            <w:tcW w:w="86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Fraud</w:t>
            </w:r>
          </w:p>
        </w:tc>
        <w:tc>
          <w:tcPr>
            <w:tcW w:w="799"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-0.127</w:t>
            </w:r>
          </w:p>
        </w:tc>
        <w:tc>
          <w:tcPr>
            <w:tcW w:w="802"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0.729</w:t>
            </w:r>
          </w:p>
        </w:tc>
        <w:tc>
          <w:tcPr>
            <w:tcW w:w="816"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0.043</w:t>
            </w:r>
          </w:p>
        </w:tc>
        <w:tc>
          <w:tcPr>
            <w:tcW w:w="793" w:type="pct"/>
            <w:tcBorders>
              <w:top w:val="nil"/>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0.147</w:t>
            </w:r>
          </w:p>
        </w:tc>
      </w:tr>
      <w:tr w:rsidR="00866B0F" w:rsidRPr="00067267" w:rsidTr="00866B0F">
        <w:trPr>
          <w:trHeight w:val="310"/>
        </w:trPr>
        <w:tc>
          <w:tcPr>
            <w:tcW w:w="921" w:type="pct"/>
            <w:vMerge/>
            <w:tcBorders>
              <w:top w:val="nil"/>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p>
        </w:tc>
        <w:tc>
          <w:tcPr>
            <w:tcW w:w="869" w:type="pct"/>
            <w:tcBorders>
              <w:top w:val="nil"/>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Non Fraud</w:t>
            </w:r>
          </w:p>
          <w:p w:rsidR="00866B0F" w:rsidRPr="00067267" w:rsidRDefault="00866B0F" w:rsidP="00866B0F">
            <w:pPr>
              <w:pStyle w:val="ListParagraph"/>
              <w:spacing w:after="0" w:line="240" w:lineRule="auto"/>
              <w:ind w:left="0"/>
              <w:jc w:val="both"/>
              <w:rPr>
                <w:rFonts w:cs="Calibri"/>
              </w:rPr>
            </w:pPr>
            <w:r w:rsidRPr="00067267">
              <w:rPr>
                <w:rFonts w:cs="Calibri"/>
              </w:rPr>
              <w:t>Total</w:t>
            </w:r>
          </w:p>
        </w:tc>
        <w:tc>
          <w:tcPr>
            <w:tcW w:w="799" w:type="pct"/>
            <w:tcBorders>
              <w:top w:val="nil"/>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-0.169</w:t>
            </w:r>
          </w:p>
          <w:p w:rsidR="00866B0F" w:rsidRPr="00067267" w:rsidRDefault="00866B0F" w:rsidP="00866B0F">
            <w:pPr>
              <w:pStyle w:val="ListParagraph"/>
              <w:spacing w:after="0" w:line="240" w:lineRule="auto"/>
              <w:ind w:left="0"/>
              <w:jc w:val="both"/>
              <w:rPr>
                <w:rFonts w:cs="Calibri"/>
              </w:rPr>
            </w:pPr>
            <w:r w:rsidRPr="00067267">
              <w:rPr>
                <w:rFonts w:cs="Calibri"/>
              </w:rPr>
              <w:t>-0.169</w:t>
            </w:r>
          </w:p>
        </w:tc>
        <w:tc>
          <w:tcPr>
            <w:tcW w:w="802" w:type="pct"/>
            <w:tcBorders>
              <w:top w:val="nil"/>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0.044</w:t>
            </w:r>
          </w:p>
          <w:p w:rsidR="00866B0F" w:rsidRPr="00067267" w:rsidRDefault="00866B0F" w:rsidP="00866B0F">
            <w:pPr>
              <w:pStyle w:val="ListParagraph"/>
              <w:spacing w:after="0" w:line="240" w:lineRule="auto"/>
              <w:ind w:left="0"/>
              <w:jc w:val="both"/>
              <w:rPr>
                <w:rFonts w:cs="Calibri"/>
              </w:rPr>
            </w:pPr>
            <w:r w:rsidRPr="00067267">
              <w:rPr>
                <w:rFonts w:cs="Calibri"/>
              </w:rPr>
              <w:t>0.729</w:t>
            </w:r>
          </w:p>
        </w:tc>
        <w:tc>
          <w:tcPr>
            <w:tcW w:w="816" w:type="pct"/>
            <w:tcBorders>
              <w:top w:val="nil"/>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0.051</w:t>
            </w:r>
          </w:p>
          <w:p w:rsidR="00866B0F" w:rsidRPr="00067267" w:rsidRDefault="00866B0F" w:rsidP="00866B0F">
            <w:pPr>
              <w:pStyle w:val="ListParagraph"/>
              <w:spacing w:after="0" w:line="240" w:lineRule="auto"/>
              <w:ind w:left="0"/>
              <w:jc w:val="both"/>
              <w:rPr>
                <w:rFonts w:cs="Calibri"/>
              </w:rPr>
            </w:pPr>
            <w:r w:rsidRPr="00067267">
              <w:rPr>
                <w:rFonts w:cs="Calibri"/>
              </w:rPr>
              <w:t>-0.021</w:t>
            </w:r>
          </w:p>
        </w:tc>
        <w:tc>
          <w:tcPr>
            <w:tcW w:w="793" w:type="pct"/>
            <w:tcBorders>
              <w:top w:val="nil"/>
              <w:left w:val="nil"/>
              <w:bottom w:val="single" w:sz="4" w:space="0" w:color="auto"/>
              <w:right w:val="nil"/>
            </w:tcBorders>
          </w:tcPr>
          <w:p w:rsidR="00866B0F" w:rsidRPr="00067267" w:rsidRDefault="00866B0F" w:rsidP="00866B0F">
            <w:pPr>
              <w:pStyle w:val="ListParagraph"/>
              <w:spacing w:after="0" w:line="240" w:lineRule="auto"/>
              <w:ind w:left="0"/>
              <w:jc w:val="both"/>
              <w:rPr>
                <w:rFonts w:cs="Calibri"/>
              </w:rPr>
            </w:pPr>
            <w:r w:rsidRPr="00067267">
              <w:rPr>
                <w:rFonts w:cs="Calibri"/>
              </w:rPr>
              <w:t>0.046</w:t>
            </w:r>
          </w:p>
          <w:p w:rsidR="00866B0F" w:rsidRPr="00067267" w:rsidRDefault="00866B0F" w:rsidP="00866B0F">
            <w:pPr>
              <w:pStyle w:val="ListParagraph"/>
              <w:spacing w:after="0" w:line="240" w:lineRule="auto"/>
              <w:ind w:left="0"/>
              <w:jc w:val="both"/>
              <w:rPr>
                <w:rFonts w:cs="Calibri"/>
              </w:rPr>
            </w:pPr>
            <w:r w:rsidRPr="00067267">
              <w:rPr>
                <w:rFonts w:cs="Calibri"/>
              </w:rPr>
              <w:t>0.100</w:t>
            </w:r>
          </w:p>
        </w:tc>
      </w:tr>
      <w:tr w:rsidR="00866B0F" w:rsidRPr="00067267" w:rsidTr="00866B0F">
        <w:trPr>
          <w:trHeight w:val="310"/>
        </w:trPr>
        <w:tc>
          <w:tcPr>
            <w:tcW w:w="1790" w:type="pct"/>
            <w:gridSpan w:val="2"/>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r w:rsidRPr="00067267">
              <w:rPr>
                <w:i/>
              </w:rPr>
              <w:t>Source:</w:t>
            </w:r>
            <w:r w:rsidRPr="00067267">
              <w:rPr>
                <w:i/>
                <w:lang w:val="en-US"/>
              </w:rPr>
              <w:t xml:space="preserve"> </w:t>
            </w:r>
            <w:r w:rsidRPr="00067267">
              <w:rPr>
                <w:lang w:val="en-US"/>
              </w:rPr>
              <w:t>Processed data, 2020</w:t>
            </w:r>
          </w:p>
        </w:tc>
        <w:tc>
          <w:tcPr>
            <w:tcW w:w="799"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02"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816"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p>
        </w:tc>
        <w:tc>
          <w:tcPr>
            <w:tcW w:w="793" w:type="pct"/>
            <w:tcBorders>
              <w:top w:val="single" w:sz="4" w:space="0" w:color="auto"/>
              <w:left w:val="nil"/>
              <w:bottom w:val="nil"/>
              <w:right w:val="nil"/>
            </w:tcBorders>
          </w:tcPr>
          <w:p w:rsidR="00866B0F" w:rsidRPr="00067267" w:rsidRDefault="00866B0F" w:rsidP="00866B0F">
            <w:pPr>
              <w:pStyle w:val="ListParagraph"/>
              <w:spacing w:after="0" w:line="240" w:lineRule="auto"/>
              <w:ind w:left="0"/>
              <w:jc w:val="both"/>
              <w:rPr>
                <w:rFonts w:cs="Calibri"/>
              </w:rPr>
            </w:pPr>
          </w:p>
        </w:tc>
      </w:tr>
    </w:tbl>
    <w:p w:rsidR="006364D7" w:rsidRPr="00067267" w:rsidRDefault="00D67690" w:rsidP="00866B0F">
      <w:pPr>
        <w:spacing w:after="0"/>
        <w:jc w:val="both"/>
        <w:rPr>
          <w:lang w:val="en-US"/>
        </w:rPr>
      </w:pPr>
      <w:r w:rsidRPr="00067267">
        <w:rPr>
          <w:lang w:val="en-US"/>
        </w:rPr>
        <w:t xml:space="preserve">The descriptive analysis in this research details the average score of min, max and standard deviation of independent and dependent variables. </w:t>
      </w:r>
      <w:hyperlink w:anchor="_Table_1._Descriptive" w:history="1">
        <w:r w:rsidRPr="00067267">
          <w:rPr>
            <w:rStyle w:val="Hyperlink"/>
            <w:u w:val="none"/>
            <w:lang w:val="en-US"/>
          </w:rPr>
          <w:t>Table 1.</w:t>
        </w:r>
      </w:hyperlink>
      <w:r w:rsidRPr="00067267">
        <w:rPr>
          <w:lang w:val="en-US"/>
        </w:rPr>
        <w:t xml:space="preserve"> shows indications of fraudulent on financial reporting of 31.4% and not indicated fraud of 68.6%. The average company sampled for the </w:t>
      </w:r>
      <w:r w:rsidR="001B69EB" w:rsidRPr="00067267">
        <w:rPr>
          <w:lang w:val="en-US"/>
        </w:rPr>
        <w:t>fir</w:t>
      </w:r>
      <w:r w:rsidRPr="00067267">
        <w:rPr>
          <w:lang w:val="en-US"/>
        </w:rPr>
        <w:t xml:space="preserve">st variable has an average value of 0.067 and a standard deviation of 0.147. This means that the average company experienced an increase in the value of total assets of 7.7% and seen from the standard deviation is greater than the average value, which means variable variations of financial stability fluctuations. Variable leverage has an average value of 0.443 and a standard deviation of 0.194, meaning that the company is financing its assets by 44.3% with liabilities as a </w:t>
      </w:r>
      <w:r w:rsidRPr="00067267">
        <w:rPr>
          <w:lang w:val="en-US"/>
        </w:rPr>
        <w:lastRenderedPageBreak/>
        <w:t xml:space="preserve">source of funding and a standard deviation value smaller than the average value, it can be concluded that variations in external pressure variables are less variable. The ROA variable with an average value of 0.060 means that the company is able to manage its assets to produce a profit of 6.01%, the average value for the effective monitoring variable is 0.374, meaning that in the entire sample, the average company has an independent commissioner composition of 37.4% and the Accruals variable has The mean of 0.021 indicates that more and more parts of accounting income are not supported by cash earnings, according to </w:t>
      </w:r>
      <w:hyperlink w:anchor="_References_1" w:history="1">
        <w:r w:rsidRPr="00067267">
          <w:rPr>
            <w:rStyle w:val="Hyperlink"/>
            <w:u w:val="none"/>
            <w:lang w:val="en-US"/>
          </w:rPr>
          <w:fldChar w:fldCharType="begin" w:fldLock="1"/>
        </w:r>
        <w:r w:rsidR="00BE1B00" w:rsidRPr="00067267">
          <w:rPr>
            <w:rStyle w:val="Hyperlink"/>
            <w:u w:val="none"/>
            <w:lang w:val="en-US"/>
          </w:rPr>
          <w:instrText>ADDIN CSL_CITATION {"citationItems":[{"id":"ITEM-1","itemData":{"DOI":"10.2139/ssrn.1998387","abstract":"An accounting-based model has strong out-of-sample power not only to detect fraud, but also to predict cross-sectional returns. Firms with a higher probability of manipulation (MSCORE) earn lower returns in every decile portfolio sorted by: Size, Book-to-Market, Momentum, Accruals, and Short-Interest. We show that the predictive power of MSCORE is related to its ability to forecast the persistence of current-year accruals, and is most pronounced among low-accrual (ostensibly high earnings-quality) stocks. Most of the incremental power derives from measures of firms’ predisposition to manipulate, rather than their level of aggressive accounting. Our evidence supports the investment value of careful fundamental analysis, even among public firms.","author":[{"dropping-particle":"","family":"Beneish","given":"Messod","non-dropping-particle":"","parse-names":false,"suffix":""},{"dropping-particle":"","family":"Lee","given":"Charles M.C.","non-dropping-particle":"","parse-names":false,"suffix":""},{"dropping-particle":"","family":"Nichols","given":"D. Craig","non-dropping-particle":"","parse-names":false,"suffix":""}],"container-title":"SSRN Electronic Journal","id":"ITEM-1","issued":{"date-parts":[["2012"]]},"title":"Fraud Detection and Expected Returns","type":"article-journal"},"uris":["http://www.mendeley.com/documents/?uuid=f12073ff-a9b7-4056-b2ea-a10c1ad9943a"]}],"mendeley":{"formattedCitation":"(M. Beneish et al., 2012)","manualFormatting":"Beneish et al., (2012)","plainTextFormattedCitation":"(M. Beneish et al., 2012)","previouslyFormattedCitation":"(M. Beneish et al., 2012)"},"properties":{"noteIndex":0},"schema":"https://github.com/citation-style-language/schema/raw/master/csl-citation.json"}</w:instrText>
        </w:r>
        <w:r w:rsidRPr="00067267">
          <w:rPr>
            <w:rStyle w:val="Hyperlink"/>
            <w:u w:val="none"/>
            <w:lang w:val="en-US"/>
          </w:rPr>
          <w:fldChar w:fldCharType="separate"/>
        </w:r>
        <w:r w:rsidRPr="00067267">
          <w:rPr>
            <w:rStyle w:val="Hyperlink"/>
            <w:noProof/>
            <w:u w:val="none"/>
            <w:lang w:val="en-US"/>
          </w:rPr>
          <w:t>Beneish et al</w:t>
        </w:r>
        <w:r w:rsidRPr="00067267">
          <w:rPr>
            <w:rStyle w:val="Hyperlink"/>
            <w:noProof/>
            <w:u w:val="none"/>
            <w:lang w:val="en-US"/>
          </w:rPr>
          <w:t>.</w:t>
        </w:r>
        <w:r w:rsidRPr="00067267">
          <w:rPr>
            <w:rStyle w:val="Hyperlink"/>
            <w:noProof/>
            <w:u w:val="none"/>
            <w:lang w:val="en-US"/>
          </w:rPr>
          <w:t>, (2012)</w:t>
        </w:r>
        <w:r w:rsidRPr="00067267">
          <w:rPr>
            <w:rStyle w:val="Hyperlink"/>
            <w:u w:val="none"/>
            <w:lang w:val="en-US"/>
          </w:rPr>
          <w:fldChar w:fldCharType="end"/>
        </w:r>
      </w:hyperlink>
      <w:r w:rsidRPr="00067267">
        <w:rPr>
          <w:lang w:val="en-US"/>
        </w:rPr>
        <w:t xml:space="preserve"> associated with discretional accrual policy that is not reasonable applied by management.</w:t>
      </w:r>
    </w:p>
    <w:p w:rsidR="00F92306" w:rsidRPr="00067267" w:rsidRDefault="00830005" w:rsidP="006C2EEB">
      <w:pPr>
        <w:spacing w:after="0"/>
        <w:ind w:firstLine="720"/>
        <w:jc w:val="both"/>
        <w:rPr>
          <w:lang w:val="en-US"/>
        </w:rPr>
      </w:pPr>
      <w:r w:rsidRPr="00067267">
        <w:rPr>
          <w:lang w:val="en-US"/>
        </w:rPr>
        <w:t>To test the hypothesis, it uses logistic regression because it is related to the form of the dependent variable which is dichotomous without using moderation. Meanwhile, to test the moderating variables used subgroup analysis. The results of the model feasibility test are using the Hosmer and Lemeshow test and the results of the Omnibus Test of Model Coefficients.</w:t>
      </w:r>
      <w:r w:rsidR="006C2EEB" w:rsidRPr="00067267">
        <w:rPr>
          <w:lang w:val="en-US"/>
        </w:rPr>
        <w:t xml:space="preserve"> </w:t>
      </w:r>
    </w:p>
    <w:p w:rsidR="005D25BF" w:rsidRPr="00067267" w:rsidRDefault="00866B0F" w:rsidP="00F45A96">
      <w:pPr>
        <w:spacing w:after="0"/>
        <w:ind w:firstLine="720"/>
        <w:jc w:val="both"/>
        <w:rPr>
          <w:lang w:val="en-US"/>
        </w:rPr>
      </w:pPr>
      <w:hyperlink w:anchor="_Table._3._Hosmer" w:history="1">
        <w:r w:rsidR="0007610A" w:rsidRPr="00067267">
          <w:rPr>
            <w:rStyle w:val="Hyperlink"/>
            <w:u w:val="none"/>
            <w:lang w:val="en-US"/>
          </w:rPr>
          <w:t>Table 3</w:t>
        </w:r>
        <w:r w:rsidR="00722469" w:rsidRPr="00067267">
          <w:rPr>
            <w:rStyle w:val="Hyperlink"/>
            <w:u w:val="none"/>
            <w:lang w:val="en-US"/>
          </w:rPr>
          <w:t>.</w:t>
        </w:r>
      </w:hyperlink>
      <w:r w:rsidR="0007610A" w:rsidRPr="00067267">
        <w:rPr>
          <w:lang w:val="en-US"/>
        </w:rPr>
        <w:t xml:space="preserve"> shows the Chi-square of 12,415, while the critical value of Chi-square with a degree of freedom (df) 8 is 15,507. Chi-square value is smaller than the critical value of Chi-square so it can be concluded that the model is acceptable because the criteria are in accordance with the observational data.</w:t>
      </w:r>
    </w:p>
    <w:p w:rsidR="00F45A96" w:rsidRPr="00067267" w:rsidRDefault="00866B0F" w:rsidP="00F45A96">
      <w:pPr>
        <w:spacing w:after="0"/>
        <w:ind w:firstLine="720"/>
        <w:jc w:val="both"/>
        <w:rPr>
          <w:lang w:val="en-US"/>
        </w:rPr>
      </w:pPr>
      <w:hyperlink w:anchor="_Table._4._Omnibus" w:history="1">
        <w:r w:rsidR="00F45A96" w:rsidRPr="00067267">
          <w:rPr>
            <w:rStyle w:val="Hyperlink"/>
            <w:u w:val="none"/>
            <w:lang w:val="en-US"/>
          </w:rPr>
          <w:t>Table 4</w:t>
        </w:r>
        <w:r w:rsidR="006C2EEB" w:rsidRPr="00067267">
          <w:rPr>
            <w:rStyle w:val="Hyperlink"/>
            <w:u w:val="none"/>
            <w:lang w:val="en-US"/>
          </w:rPr>
          <w:t>.</w:t>
        </w:r>
      </w:hyperlink>
      <w:r w:rsidR="00F45A96" w:rsidRPr="00067267">
        <w:rPr>
          <w:lang w:val="en-US"/>
        </w:rPr>
        <w:t xml:space="preserve"> shows the Chi-square value in the logistic regression model 36.91, while the critical value of chi-square with degree of freedom (df) 5 is 11.0705. These results can be concluded that all independent variables jointly influence the dependent variable.</w:t>
      </w:r>
    </w:p>
    <w:p w:rsidR="00F45A96" w:rsidRPr="00067267" w:rsidRDefault="00F45A96" w:rsidP="00F45A96">
      <w:pPr>
        <w:spacing w:after="0" w:line="240" w:lineRule="auto"/>
        <w:ind w:firstLine="720"/>
        <w:jc w:val="both"/>
        <w:rPr>
          <w:lang w:val="en-US"/>
        </w:rPr>
      </w:pPr>
      <w:r w:rsidRPr="00067267">
        <w:rPr>
          <w:lang w:val="en-US"/>
        </w:rPr>
        <w:t>The level of accuracy of this logistic regression model in predicting fraudulent on financial reporting variables indicated by the resu</w:t>
      </w:r>
      <w:r w:rsidR="006C2EEB" w:rsidRPr="00067267">
        <w:rPr>
          <w:lang w:val="en-US"/>
        </w:rPr>
        <w:t xml:space="preserve">lts of classification table on </w:t>
      </w:r>
      <w:hyperlink w:anchor="_Table._3._Hosmer" w:history="1">
        <w:r w:rsidR="006C2EEB" w:rsidRPr="00067267">
          <w:rPr>
            <w:rStyle w:val="Hyperlink"/>
            <w:u w:val="none"/>
            <w:lang w:val="en-US"/>
          </w:rPr>
          <w:t>T</w:t>
        </w:r>
        <w:r w:rsidRPr="00067267">
          <w:rPr>
            <w:rStyle w:val="Hyperlink"/>
            <w:u w:val="none"/>
            <w:lang w:val="en-US"/>
          </w:rPr>
          <w:t>able 5</w:t>
        </w:r>
        <w:r w:rsidR="006C2EEB" w:rsidRPr="00067267">
          <w:rPr>
            <w:rStyle w:val="Hyperlink"/>
            <w:u w:val="none"/>
            <w:lang w:val="en-US"/>
          </w:rPr>
          <w:t>.</w:t>
        </w:r>
      </w:hyperlink>
      <w:r w:rsidRPr="00067267">
        <w:rPr>
          <w:lang w:val="en-US"/>
        </w:rPr>
        <w:t xml:space="preserve"> is 80.1%. </w:t>
      </w:r>
      <w:hyperlink w:anchor="_Table_6._Regression" w:history="1">
        <w:r w:rsidRPr="00067267">
          <w:rPr>
            <w:rStyle w:val="Hyperlink"/>
            <w:u w:val="none"/>
            <w:lang w:val="en-US"/>
          </w:rPr>
          <w:t>Table 6</w:t>
        </w:r>
        <w:r w:rsidR="006C2EEB" w:rsidRPr="00067267">
          <w:rPr>
            <w:rStyle w:val="Hyperlink"/>
            <w:u w:val="none"/>
            <w:lang w:val="en-US"/>
          </w:rPr>
          <w:t>.</w:t>
        </w:r>
      </w:hyperlink>
      <w:r w:rsidRPr="00067267">
        <w:rPr>
          <w:lang w:val="en-US"/>
        </w:rPr>
        <w:t xml:space="preserve"> shows the regression model that was formed. </w:t>
      </w:r>
      <w:hyperlink w:anchor="_Table_6._Regression" w:history="1">
        <w:r w:rsidRPr="00067267">
          <w:rPr>
            <w:rStyle w:val="Hyperlink"/>
            <w:u w:val="none"/>
            <w:lang w:val="en-US"/>
          </w:rPr>
          <w:t>Table 6</w:t>
        </w:r>
      </w:hyperlink>
      <w:r w:rsidR="002A5AA6" w:rsidRPr="00067267">
        <w:rPr>
          <w:lang w:val="en-US"/>
        </w:rPr>
        <w:t>.</w:t>
      </w:r>
      <w:r w:rsidRPr="00067267">
        <w:rPr>
          <w:lang w:val="en-US"/>
        </w:rPr>
        <w:t xml:space="preserve"> presents a logistic regression test using the moderation variable.</w:t>
      </w:r>
    </w:p>
    <w:tbl>
      <w:tblPr>
        <w:tblStyle w:val="TableGrid"/>
        <w:tblpPr w:leftFromText="187" w:rightFromText="187" w:vertAnchor="page" w:horzAnchor="margin" w:tblpY="2446"/>
        <w:tblOverlap w:val="never"/>
        <w:tblW w:w="5000" w:type="pct"/>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14"/>
        <w:gridCol w:w="2665"/>
        <w:gridCol w:w="4157"/>
      </w:tblGrid>
      <w:tr w:rsidR="00FC41C2" w:rsidRPr="00067267" w:rsidTr="00866B0F">
        <w:trPr>
          <w:trHeight w:val="143"/>
        </w:trPr>
        <w:tc>
          <w:tcPr>
            <w:tcW w:w="5000" w:type="pct"/>
            <w:gridSpan w:val="3"/>
            <w:tcBorders>
              <w:top w:val="nil"/>
              <w:bottom w:val="single" w:sz="4" w:space="0" w:color="auto"/>
            </w:tcBorders>
          </w:tcPr>
          <w:p w:rsidR="00FC41C2" w:rsidRPr="00067267" w:rsidRDefault="00FC41C2" w:rsidP="00866B0F">
            <w:pPr>
              <w:pStyle w:val="Heading1"/>
            </w:pPr>
            <w:r w:rsidRPr="00067267">
              <w:t>Table 2. Descriptive Statistics (dummy variable)</w:t>
            </w:r>
          </w:p>
        </w:tc>
      </w:tr>
      <w:tr w:rsidR="00FC41C2" w:rsidRPr="00067267" w:rsidTr="00866B0F">
        <w:trPr>
          <w:trHeight w:val="129"/>
        </w:trPr>
        <w:tc>
          <w:tcPr>
            <w:tcW w:w="702" w:type="pct"/>
            <w:tcBorders>
              <w:top w:val="single" w:sz="4" w:space="0" w:color="auto"/>
              <w:bottom w:val="single" w:sz="4" w:space="0" w:color="auto"/>
            </w:tcBorders>
          </w:tcPr>
          <w:p w:rsidR="00FC41C2" w:rsidRPr="00067267" w:rsidRDefault="00FC41C2" w:rsidP="00866B0F">
            <w:pPr>
              <w:pStyle w:val="ListParagraph"/>
              <w:spacing w:after="0" w:line="240" w:lineRule="auto"/>
              <w:ind w:left="0"/>
              <w:jc w:val="center"/>
              <w:rPr>
                <w:rFonts w:cs="Calibri"/>
              </w:rPr>
            </w:pPr>
            <w:r w:rsidRPr="00067267">
              <w:rPr>
                <w:rFonts w:cs="Calibri"/>
              </w:rPr>
              <w:t>Variabel</w:t>
            </w:r>
          </w:p>
        </w:tc>
        <w:tc>
          <w:tcPr>
            <w:tcW w:w="1679" w:type="pct"/>
            <w:tcBorders>
              <w:top w:val="single" w:sz="4" w:space="0" w:color="auto"/>
              <w:bottom w:val="single" w:sz="4" w:space="0" w:color="auto"/>
            </w:tcBorders>
          </w:tcPr>
          <w:p w:rsidR="00FC41C2" w:rsidRPr="00067267" w:rsidRDefault="00FC41C2" w:rsidP="00866B0F">
            <w:pPr>
              <w:pStyle w:val="ListParagraph"/>
              <w:spacing w:after="0" w:line="240" w:lineRule="auto"/>
              <w:ind w:left="0"/>
              <w:jc w:val="center"/>
              <w:rPr>
                <w:rFonts w:cs="Calibri"/>
              </w:rPr>
            </w:pPr>
            <w:r w:rsidRPr="00067267">
              <w:rPr>
                <w:rFonts w:cs="Calibri"/>
              </w:rPr>
              <w:t xml:space="preserve">                 Frequency 1</w:t>
            </w:r>
          </w:p>
        </w:tc>
        <w:tc>
          <w:tcPr>
            <w:tcW w:w="2619" w:type="pct"/>
            <w:tcBorders>
              <w:top w:val="single" w:sz="4" w:space="0" w:color="auto"/>
              <w:bottom w:val="single" w:sz="4" w:space="0" w:color="auto"/>
            </w:tcBorders>
          </w:tcPr>
          <w:p w:rsidR="00FC41C2" w:rsidRPr="00067267" w:rsidRDefault="00FC41C2" w:rsidP="00866B0F">
            <w:pPr>
              <w:pStyle w:val="ListParagraph"/>
              <w:spacing w:after="0" w:line="240" w:lineRule="auto"/>
              <w:ind w:left="0"/>
              <w:jc w:val="center"/>
              <w:rPr>
                <w:rFonts w:cs="Calibri"/>
              </w:rPr>
            </w:pPr>
            <w:r w:rsidRPr="00067267">
              <w:rPr>
                <w:rFonts w:cs="Calibri"/>
              </w:rPr>
              <w:t>Frequency 0</w:t>
            </w:r>
          </w:p>
        </w:tc>
      </w:tr>
      <w:tr w:rsidR="00FC41C2" w:rsidRPr="00067267" w:rsidTr="00866B0F">
        <w:tc>
          <w:tcPr>
            <w:tcW w:w="702" w:type="pct"/>
            <w:tcBorders>
              <w:top w:val="single" w:sz="4" w:space="0" w:color="auto"/>
              <w:bottom w:val="single" w:sz="4" w:space="0" w:color="auto"/>
            </w:tcBorders>
          </w:tcPr>
          <w:p w:rsidR="00FC41C2" w:rsidRPr="00067267" w:rsidRDefault="00FC41C2" w:rsidP="00866B0F">
            <w:pPr>
              <w:pStyle w:val="ListParagraph"/>
              <w:spacing w:after="0" w:line="240" w:lineRule="auto"/>
              <w:ind w:left="0"/>
              <w:jc w:val="center"/>
              <w:rPr>
                <w:rFonts w:cs="Calibri"/>
              </w:rPr>
            </w:pPr>
            <w:r w:rsidRPr="00067267">
              <w:rPr>
                <w:rFonts w:cs="Calibri"/>
              </w:rPr>
              <w:t>INTI</w:t>
            </w:r>
          </w:p>
        </w:tc>
        <w:tc>
          <w:tcPr>
            <w:tcW w:w="1679" w:type="pct"/>
            <w:tcBorders>
              <w:top w:val="single" w:sz="4" w:space="0" w:color="auto"/>
              <w:bottom w:val="single" w:sz="4" w:space="0" w:color="auto"/>
            </w:tcBorders>
          </w:tcPr>
          <w:p w:rsidR="00FC41C2" w:rsidRPr="00067267" w:rsidRDefault="00FC41C2" w:rsidP="00866B0F">
            <w:pPr>
              <w:pStyle w:val="ListParagraph"/>
              <w:spacing w:after="0" w:line="240" w:lineRule="auto"/>
              <w:ind w:left="0"/>
              <w:jc w:val="center"/>
              <w:rPr>
                <w:rFonts w:cs="Calibri"/>
              </w:rPr>
            </w:pPr>
            <w:r w:rsidRPr="00067267">
              <w:rPr>
                <w:rFonts w:cs="Calibri"/>
              </w:rPr>
              <w:t xml:space="preserve">                 0.279</w:t>
            </w:r>
          </w:p>
        </w:tc>
        <w:tc>
          <w:tcPr>
            <w:tcW w:w="2619" w:type="pct"/>
            <w:tcBorders>
              <w:top w:val="single" w:sz="4" w:space="0" w:color="auto"/>
              <w:bottom w:val="single" w:sz="4" w:space="0" w:color="auto"/>
            </w:tcBorders>
          </w:tcPr>
          <w:p w:rsidR="00FC41C2" w:rsidRPr="00067267" w:rsidRDefault="00FC41C2" w:rsidP="00866B0F">
            <w:pPr>
              <w:pStyle w:val="ListParagraph"/>
              <w:spacing w:after="0" w:line="240" w:lineRule="auto"/>
              <w:ind w:left="0"/>
              <w:jc w:val="center"/>
              <w:rPr>
                <w:rFonts w:cs="Calibri"/>
              </w:rPr>
            </w:pPr>
            <w:r w:rsidRPr="00067267">
              <w:rPr>
                <w:rFonts w:cs="Calibri"/>
              </w:rPr>
              <w:t>0.729</w:t>
            </w:r>
          </w:p>
        </w:tc>
      </w:tr>
      <w:tr w:rsidR="00FC41C2" w:rsidRPr="00067267" w:rsidTr="00866B0F">
        <w:tc>
          <w:tcPr>
            <w:tcW w:w="5000" w:type="pct"/>
            <w:gridSpan w:val="3"/>
            <w:tcBorders>
              <w:top w:val="single" w:sz="4" w:space="0" w:color="auto"/>
              <w:bottom w:val="nil"/>
            </w:tcBorders>
          </w:tcPr>
          <w:p w:rsidR="00FC41C2" w:rsidRPr="00067267" w:rsidRDefault="00FC41C2" w:rsidP="00866B0F">
            <w:pPr>
              <w:pStyle w:val="ListParagraph"/>
              <w:spacing w:after="0" w:line="240" w:lineRule="auto"/>
              <w:ind w:left="0"/>
              <w:rPr>
                <w:rFonts w:cs="Calibri"/>
                <w:sz w:val="20"/>
                <w:szCs w:val="20"/>
              </w:rPr>
            </w:pPr>
            <w:r w:rsidRPr="00067267">
              <w:rPr>
                <w:sz w:val="20"/>
                <w:szCs w:val="20"/>
              </w:rPr>
              <w:t>Source:</w:t>
            </w:r>
            <w:r w:rsidRPr="00067267">
              <w:rPr>
                <w:sz w:val="20"/>
                <w:szCs w:val="20"/>
                <w:lang w:val="en-US"/>
              </w:rPr>
              <w:t xml:space="preserve"> Processed data, 2020</w:t>
            </w:r>
          </w:p>
        </w:tc>
      </w:tr>
    </w:tbl>
    <w:p w:rsidR="00F45A96" w:rsidRPr="00067267" w:rsidRDefault="00F45A96" w:rsidP="00F45A96">
      <w:pPr>
        <w:spacing w:after="0" w:line="240" w:lineRule="auto"/>
        <w:jc w:val="both"/>
        <w:rPr>
          <w:lang w:val="en-US"/>
        </w:rPr>
      </w:pPr>
      <w:r w:rsidRPr="00067267">
        <w:t>Model 1 without moderation as follows:</w:t>
      </w:r>
    </w:p>
    <w:p w:rsidR="00F45A96" w:rsidRPr="00067267" w:rsidRDefault="00F45A96" w:rsidP="00F45A96">
      <w:pPr>
        <w:spacing w:after="0" w:line="240" w:lineRule="auto"/>
        <w:ind w:left="1530" w:hanging="1530"/>
        <w:jc w:val="both"/>
        <w:rPr>
          <w:lang w:val="en-US"/>
        </w:rPr>
      </w:pPr>
      <w:r w:rsidRPr="00067267">
        <w:t>Ln</w:t>
      </w:r>
      <m:oMath>
        <m:r>
          <m:rPr>
            <m:sty m:val="p"/>
          </m:rPr>
          <w:rPr>
            <w:rFonts w:ascii="Cambria Math" w:hAnsi="Cambria Math"/>
          </w:rPr>
          <m:t>=</m:t>
        </m:r>
        <m:f>
          <m:fPr>
            <m:ctrlPr>
              <w:rPr>
                <w:rFonts w:ascii="Cambria Math" w:hAnsi="Cambria Math"/>
              </w:rPr>
            </m:ctrlPr>
          </m:fPr>
          <m:num>
            <m:r>
              <m:rPr>
                <m:sty m:val="p"/>
              </m:rPr>
              <w:rPr>
                <w:rFonts w:ascii="Cambria Math" w:hAnsi="Cambria Math"/>
              </w:rPr>
              <m:t>Fraud</m:t>
            </m:r>
          </m:num>
          <m:den>
            <m:r>
              <m:rPr>
                <m:sty m:val="p"/>
              </m:rPr>
              <w:rPr>
                <w:rFonts w:ascii="Cambria Math" w:hAnsi="Cambria Math"/>
              </w:rPr>
              <m:t>1-Fraud</m:t>
            </m:r>
          </m:den>
        </m:f>
      </m:oMath>
      <w:r w:rsidRPr="00067267">
        <w:t xml:space="preserve">   = -2.887 + 3.710 FINST + 1.351 LEV -1.959ROA – 25.176KIND + 31.876 Accruals + ε</w:t>
      </w:r>
    </w:p>
    <w:p w:rsidR="00F45A96" w:rsidRPr="00067267" w:rsidRDefault="00F45A96" w:rsidP="00F45A96">
      <w:pPr>
        <w:spacing w:after="0"/>
        <w:jc w:val="both"/>
        <w:rPr>
          <w:lang w:val="en-US"/>
        </w:rPr>
      </w:pPr>
      <w:r w:rsidRPr="00067267">
        <w:rPr>
          <w:lang w:val="en-US"/>
        </w:rPr>
        <w:t>Model 2 with moderation</w:t>
      </w:r>
    </w:p>
    <w:p w:rsidR="00F45A96" w:rsidRPr="00067267" w:rsidRDefault="00F45A96" w:rsidP="00F45A96">
      <w:pPr>
        <w:spacing w:after="0"/>
        <w:ind w:firstLine="720"/>
        <w:jc w:val="both"/>
        <w:rPr>
          <w:lang w:val="en-US"/>
        </w:rPr>
      </w:pPr>
      <w:r w:rsidRPr="00067267">
        <w:rPr>
          <w:lang w:val="en-US"/>
        </w:rPr>
        <w:t>Subgroup analysis for moderation variable test is formed as follows:</w:t>
      </w:r>
    </w:p>
    <w:p w:rsidR="00F45A96" w:rsidRPr="00067267" w:rsidRDefault="00F45A96" w:rsidP="00F45A96">
      <w:pPr>
        <w:spacing w:after="0"/>
        <w:ind w:left="1530" w:hanging="1530"/>
        <w:jc w:val="both"/>
        <w:rPr>
          <w:lang w:val="en-US"/>
        </w:rPr>
      </w:pPr>
      <w:r w:rsidRPr="00067267">
        <w:rPr>
          <w:lang w:val="en-US"/>
        </w:rPr>
        <w:t>Ln</w:t>
      </w:r>
      <m:oMath>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Fraud</m:t>
            </m:r>
          </m:num>
          <m:den>
            <m:r>
              <m:rPr>
                <m:sty m:val="p"/>
              </m:rPr>
              <w:rPr>
                <w:rFonts w:ascii="Cambria Math" w:hAnsi="Cambria Math"/>
                <w:lang w:val="en-US"/>
              </w:rPr>
              <m:t>1-Fraud</m:t>
            </m:r>
          </m:den>
        </m:f>
      </m:oMath>
      <w:r w:rsidRPr="00067267">
        <w:rPr>
          <w:lang w:val="en-US"/>
        </w:rPr>
        <w:t xml:space="preserve">   = -2.906 + 3.670 Finst + 1.215 LEV - 0.930 ROA -23.217 KIND + 29.300 Accruals + 0.067 INTI + 13855.46 Interaction + ε    </w:t>
      </w:r>
    </w:p>
    <w:tbl>
      <w:tblPr>
        <w:tblStyle w:val="TableGrid"/>
        <w:tblpPr w:leftFromText="187" w:rightFromText="187" w:vertAnchor="page" w:horzAnchor="margin" w:tblpY="13726"/>
        <w:tblOverlap w:val="never"/>
        <w:tblW w:w="5000" w:type="pct"/>
        <w:tblLook w:val="04A0" w:firstRow="1" w:lastRow="0" w:firstColumn="1" w:lastColumn="0" w:noHBand="0" w:noVBand="1"/>
      </w:tblPr>
      <w:tblGrid>
        <w:gridCol w:w="2324"/>
        <w:gridCol w:w="2709"/>
        <w:gridCol w:w="1355"/>
        <w:gridCol w:w="1548"/>
      </w:tblGrid>
      <w:tr w:rsidR="00866B0F" w:rsidRPr="00067267" w:rsidTr="00866B0F">
        <w:trPr>
          <w:trHeight w:val="165"/>
        </w:trPr>
        <w:tc>
          <w:tcPr>
            <w:tcW w:w="5000" w:type="pct"/>
            <w:gridSpan w:val="4"/>
            <w:tcBorders>
              <w:top w:val="nil"/>
              <w:left w:val="nil"/>
              <w:bottom w:val="single" w:sz="4" w:space="0" w:color="auto"/>
              <w:right w:val="nil"/>
            </w:tcBorders>
          </w:tcPr>
          <w:p w:rsidR="00866B0F" w:rsidRPr="00067267" w:rsidRDefault="00866B0F" w:rsidP="00866B0F">
            <w:pPr>
              <w:pStyle w:val="Heading1"/>
              <w:rPr>
                <w:szCs w:val="22"/>
              </w:rPr>
            </w:pPr>
            <w:r w:rsidRPr="00067267">
              <w:rPr>
                <w:szCs w:val="22"/>
              </w:rPr>
              <w:t>Table. 3. Hosmer and Lemeshow’s Test</w:t>
            </w:r>
          </w:p>
        </w:tc>
      </w:tr>
      <w:tr w:rsidR="00866B0F" w:rsidRPr="00067267" w:rsidTr="00866B0F">
        <w:trPr>
          <w:trHeight w:val="165"/>
        </w:trPr>
        <w:tc>
          <w:tcPr>
            <w:tcW w:w="1464"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Step</w:t>
            </w:r>
          </w:p>
        </w:tc>
        <w:tc>
          <w:tcPr>
            <w:tcW w:w="1707"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Chi-square</w:t>
            </w:r>
          </w:p>
        </w:tc>
        <w:tc>
          <w:tcPr>
            <w:tcW w:w="854"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df</w:t>
            </w:r>
          </w:p>
        </w:tc>
        <w:tc>
          <w:tcPr>
            <w:tcW w:w="975"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sig</w:t>
            </w:r>
          </w:p>
        </w:tc>
      </w:tr>
      <w:tr w:rsidR="00866B0F" w:rsidRPr="00067267" w:rsidTr="00866B0F">
        <w:tc>
          <w:tcPr>
            <w:tcW w:w="1464"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1</w:t>
            </w:r>
          </w:p>
        </w:tc>
        <w:tc>
          <w:tcPr>
            <w:tcW w:w="1707"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12.415</w:t>
            </w:r>
          </w:p>
        </w:tc>
        <w:tc>
          <w:tcPr>
            <w:tcW w:w="854"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8</w:t>
            </w:r>
          </w:p>
        </w:tc>
        <w:tc>
          <w:tcPr>
            <w:tcW w:w="975" w:type="pct"/>
            <w:tcBorders>
              <w:top w:val="single" w:sz="4" w:space="0" w:color="auto"/>
              <w:left w:val="nil"/>
              <w:bottom w:val="single" w:sz="4" w:space="0" w:color="auto"/>
              <w:right w:val="nil"/>
            </w:tcBorders>
          </w:tcPr>
          <w:p w:rsidR="00866B0F" w:rsidRPr="00067267" w:rsidRDefault="00866B0F" w:rsidP="00866B0F">
            <w:pPr>
              <w:pStyle w:val="ListParagraph"/>
              <w:spacing w:after="0"/>
              <w:ind w:left="0"/>
              <w:jc w:val="center"/>
              <w:rPr>
                <w:rFonts w:cs="Calibri"/>
              </w:rPr>
            </w:pPr>
            <w:r w:rsidRPr="00067267">
              <w:rPr>
                <w:rFonts w:cs="Calibri"/>
              </w:rPr>
              <w:t>0.147</w:t>
            </w:r>
          </w:p>
        </w:tc>
      </w:tr>
      <w:tr w:rsidR="00866B0F" w:rsidRPr="00067267" w:rsidTr="00866B0F">
        <w:tc>
          <w:tcPr>
            <w:tcW w:w="5000" w:type="pct"/>
            <w:gridSpan w:val="4"/>
            <w:tcBorders>
              <w:top w:val="single" w:sz="4" w:space="0" w:color="auto"/>
              <w:left w:val="nil"/>
              <w:bottom w:val="nil"/>
              <w:right w:val="nil"/>
            </w:tcBorders>
          </w:tcPr>
          <w:p w:rsidR="00866B0F" w:rsidRPr="00067267" w:rsidRDefault="00866B0F" w:rsidP="00866B0F">
            <w:pPr>
              <w:pStyle w:val="ListParagraph"/>
              <w:spacing w:after="0"/>
              <w:ind w:left="0"/>
              <w:rPr>
                <w:rFonts w:cs="Calibri"/>
              </w:rPr>
            </w:pPr>
            <w:r w:rsidRPr="00067267">
              <w:t>Source:</w:t>
            </w:r>
            <w:r w:rsidRPr="00067267">
              <w:rPr>
                <w:i/>
                <w:lang w:val="en-US"/>
              </w:rPr>
              <w:t xml:space="preserve"> </w:t>
            </w:r>
            <w:r w:rsidRPr="00067267">
              <w:rPr>
                <w:lang w:val="en-US"/>
              </w:rPr>
              <w:t>Processed data, 2020</w:t>
            </w:r>
          </w:p>
        </w:tc>
      </w:tr>
    </w:tbl>
    <w:p w:rsidR="003B6666" w:rsidRPr="00067267" w:rsidRDefault="00F45A96" w:rsidP="003B6666">
      <w:pPr>
        <w:spacing w:after="0"/>
        <w:ind w:firstLine="720"/>
        <w:jc w:val="both"/>
        <w:rPr>
          <w:lang w:val="en"/>
        </w:rPr>
      </w:pPr>
      <w:r w:rsidRPr="00067267">
        <w:rPr>
          <w:lang w:val="en-US"/>
        </w:rPr>
        <w:t>The results of regression logistic test of these two mod</w:t>
      </w:r>
      <w:r w:rsidR="00D14222" w:rsidRPr="00067267">
        <w:rPr>
          <w:lang w:val="en-US"/>
        </w:rPr>
        <w:t xml:space="preserve">el is presented in </w:t>
      </w:r>
      <w:hyperlink w:anchor="_Table_6._Regression" w:history="1">
        <w:r w:rsidR="00D14222" w:rsidRPr="00067267">
          <w:rPr>
            <w:rStyle w:val="Hyperlink"/>
            <w:u w:val="none"/>
            <w:lang w:val="en-US"/>
          </w:rPr>
          <w:t>Table 6.</w:t>
        </w:r>
      </w:hyperlink>
      <w:r w:rsidR="00D14222" w:rsidRPr="00067267">
        <w:rPr>
          <w:lang w:val="en-US"/>
        </w:rPr>
        <w:t xml:space="preserve"> </w:t>
      </w:r>
      <w:r w:rsidRPr="00067267">
        <w:rPr>
          <w:lang w:val="en-US"/>
        </w:rPr>
        <w:t>In model 1, the value of n</w:t>
      </w:r>
      <w:r w:rsidRPr="00067267">
        <w:rPr>
          <w:lang w:val="en"/>
        </w:rPr>
        <w:t>agelkerke R</w:t>
      </w:r>
      <w:r w:rsidRPr="00067267">
        <w:rPr>
          <w:vertAlign w:val="superscript"/>
          <w:lang w:val="en"/>
        </w:rPr>
        <w:t xml:space="preserve">2 </w:t>
      </w:r>
      <w:r w:rsidRPr="00067267">
        <w:rPr>
          <w:lang w:val="en"/>
        </w:rPr>
        <w:t>is</w:t>
      </w:r>
      <w:r w:rsidRPr="00067267">
        <w:rPr>
          <w:vertAlign w:val="superscript"/>
          <w:lang w:val="en"/>
        </w:rPr>
        <w:t xml:space="preserve"> </w:t>
      </w:r>
      <w:r w:rsidRPr="00067267">
        <w:rPr>
          <w:lang w:val="en"/>
        </w:rPr>
        <w:t xml:space="preserve">0.573 indicates that 57.3% of the fraudulent </w:t>
      </w:r>
      <w:r w:rsidR="003B6666" w:rsidRPr="00067267">
        <w:rPr>
          <w:lang w:val="en"/>
        </w:rPr>
        <w:lastRenderedPageBreak/>
        <w:t>financial report can be explained by the fraud triangle as independent variable. In model 2, a higher value of nagelkerke R</w:t>
      </w:r>
      <w:r w:rsidR="003B6666" w:rsidRPr="00067267">
        <w:rPr>
          <w:vertAlign w:val="superscript"/>
          <w:lang w:val="en"/>
        </w:rPr>
        <w:t xml:space="preserve">2 </w:t>
      </w:r>
      <w:r w:rsidR="003B6666" w:rsidRPr="00067267">
        <w:rPr>
          <w:lang w:val="en"/>
        </w:rPr>
        <w:t>is</w:t>
      </w:r>
      <w:r w:rsidR="003B6666" w:rsidRPr="00067267">
        <w:rPr>
          <w:vertAlign w:val="superscript"/>
          <w:lang w:val="en"/>
        </w:rPr>
        <w:t xml:space="preserve"> </w:t>
      </w:r>
      <w:r w:rsidR="003B6666" w:rsidRPr="00067267">
        <w:rPr>
          <w:lang w:val="en"/>
        </w:rPr>
        <w:t>0.691 shows that it is a slightly better model. It means that 69.1% of the fraudulent financial report can be explained by the variable tested including the interaction variable.</w:t>
      </w:r>
    </w:p>
    <w:tbl>
      <w:tblPr>
        <w:tblStyle w:val="TableGrid"/>
        <w:tblpPr w:leftFromText="187" w:rightFromText="187" w:vertAnchor="page" w:horzAnchor="margin" w:tblpY="2491"/>
        <w:tblOverlap w:val="never"/>
        <w:tblW w:w="5000" w:type="pct"/>
        <w:tblLook w:val="04A0" w:firstRow="1" w:lastRow="0" w:firstColumn="1" w:lastColumn="0" w:noHBand="0" w:noVBand="1"/>
      </w:tblPr>
      <w:tblGrid>
        <w:gridCol w:w="1184"/>
        <w:gridCol w:w="2778"/>
        <w:gridCol w:w="1390"/>
        <w:gridCol w:w="2584"/>
      </w:tblGrid>
      <w:tr w:rsidR="003B6666" w:rsidRPr="00067267" w:rsidTr="003B6666">
        <w:tc>
          <w:tcPr>
            <w:tcW w:w="5000" w:type="pct"/>
            <w:gridSpan w:val="4"/>
            <w:tcBorders>
              <w:top w:val="nil"/>
              <w:left w:val="nil"/>
              <w:bottom w:val="single" w:sz="4" w:space="0" w:color="auto"/>
              <w:right w:val="nil"/>
            </w:tcBorders>
          </w:tcPr>
          <w:p w:rsidR="003B6666" w:rsidRPr="00067267" w:rsidRDefault="003B6666" w:rsidP="003B6666">
            <w:pPr>
              <w:pStyle w:val="Heading1"/>
              <w:rPr>
                <w:szCs w:val="22"/>
              </w:rPr>
            </w:pPr>
            <w:r w:rsidRPr="00067267">
              <w:rPr>
                <w:szCs w:val="22"/>
              </w:rPr>
              <w:t>Table. 4. Omnibus Tests of Model Coefficients</w:t>
            </w:r>
          </w:p>
        </w:tc>
      </w:tr>
      <w:tr w:rsidR="003B6666" w:rsidRPr="00067267" w:rsidTr="003B6666">
        <w:tc>
          <w:tcPr>
            <w:tcW w:w="746" w:type="pct"/>
            <w:tcBorders>
              <w:top w:val="single" w:sz="4" w:space="0" w:color="auto"/>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Step</w:t>
            </w:r>
          </w:p>
        </w:tc>
        <w:tc>
          <w:tcPr>
            <w:tcW w:w="1750" w:type="pct"/>
            <w:tcBorders>
              <w:top w:val="single" w:sz="4" w:space="0" w:color="auto"/>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Chi-square</w:t>
            </w:r>
          </w:p>
        </w:tc>
        <w:tc>
          <w:tcPr>
            <w:tcW w:w="876" w:type="pct"/>
            <w:tcBorders>
              <w:top w:val="single" w:sz="4" w:space="0" w:color="auto"/>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df</w:t>
            </w:r>
          </w:p>
        </w:tc>
        <w:tc>
          <w:tcPr>
            <w:tcW w:w="1628" w:type="pct"/>
            <w:tcBorders>
              <w:top w:val="single" w:sz="4" w:space="0" w:color="auto"/>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sig</w:t>
            </w:r>
          </w:p>
        </w:tc>
      </w:tr>
      <w:tr w:rsidR="003B6666" w:rsidRPr="00067267" w:rsidTr="003B6666">
        <w:tc>
          <w:tcPr>
            <w:tcW w:w="746" w:type="pct"/>
            <w:tcBorders>
              <w:top w:val="single" w:sz="4" w:space="0" w:color="auto"/>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p>
        </w:tc>
        <w:tc>
          <w:tcPr>
            <w:tcW w:w="1750" w:type="pct"/>
            <w:tcBorders>
              <w:top w:val="single" w:sz="4" w:space="0" w:color="auto"/>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37.125</w:t>
            </w:r>
          </w:p>
        </w:tc>
        <w:tc>
          <w:tcPr>
            <w:tcW w:w="876" w:type="pct"/>
            <w:tcBorders>
              <w:top w:val="single" w:sz="4" w:space="0" w:color="auto"/>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5</w:t>
            </w:r>
          </w:p>
        </w:tc>
        <w:tc>
          <w:tcPr>
            <w:tcW w:w="1628" w:type="pct"/>
            <w:tcBorders>
              <w:top w:val="single" w:sz="4" w:space="0" w:color="auto"/>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0.000</w:t>
            </w:r>
          </w:p>
        </w:tc>
      </w:tr>
      <w:tr w:rsidR="003B6666" w:rsidRPr="00067267" w:rsidTr="003B6666">
        <w:tc>
          <w:tcPr>
            <w:tcW w:w="746" w:type="pct"/>
            <w:tcBorders>
              <w:top w:val="nil"/>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1</w:t>
            </w:r>
          </w:p>
        </w:tc>
        <w:tc>
          <w:tcPr>
            <w:tcW w:w="1750" w:type="pct"/>
            <w:tcBorders>
              <w:top w:val="nil"/>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37.125</w:t>
            </w:r>
          </w:p>
        </w:tc>
        <w:tc>
          <w:tcPr>
            <w:tcW w:w="876" w:type="pct"/>
            <w:tcBorders>
              <w:top w:val="nil"/>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5</w:t>
            </w:r>
          </w:p>
        </w:tc>
        <w:tc>
          <w:tcPr>
            <w:tcW w:w="1628" w:type="pct"/>
            <w:tcBorders>
              <w:top w:val="nil"/>
              <w:left w:val="nil"/>
              <w:bottom w:val="nil"/>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0.000</w:t>
            </w:r>
          </w:p>
        </w:tc>
      </w:tr>
      <w:tr w:rsidR="003B6666" w:rsidRPr="00067267" w:rsidTr="003B6666">
        <w:tc>
          <w:tcPr>
            <w:tcW w:w="746" w:type="pct"/>
            <w:tcBorders>
              <w:top w:val="nil"/>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p>
        </w:tc>
        <w:tc>
          <w:tcPr>
            <w:tcW w:w="1750" w:type="pct"/>
            <w:tcBorders>
              <w:top w:val="nil"/>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37.125</w:t>
            </w:r>
          </w:p>
        </w:tc>
        <w:tc>
          <w:tcPr>
            <w:tcW w:w="876" w:type="pct"/>
            <w:tcBorders>
              <w:top w:val="nil"/>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5</w:t>
            </w:r>
          </w:p>
        </w:tc>
        <w:tc>
          <w:tcPr>
            <w:tcW w:w="1628" w:type="pct"/>
            <w:tcBorders>
              <w:top w:val="nil"/>
              <w:left w:val="nil"/>
              <w:bottom w:val="single" w:sz="4" w:space="0" w:color="auto"/>
              <w:right w:val="nil"/>
            </w:tcBorders>
          </w:tcPr>
          <w:p w:rsidR="003B6666" w:rsidRPr="00067267" w:rsidRDefault="003B6666" w:rsidP="003B6666">
            <w:pPr>
              <w:pStyle w:val="ListParagraph"/>
              <w:spacing w:after="0"/>
              <w:ind w:left="0"/>
              <w:jc w:val="center"/>
              <w:rPr>
                <w:rFonts w:asciiTheme="minorHAnsi" w:hAnsiTheme="minorHAnsi" w:cstheme="minorHAnsi"/>
              </w:rPr>
            </w:pPr>
            <w:r w:rsidRPr="00067267">
              <w:rPr>
                <w:rFonts w:asciiTheme="minorHAnsi" w:hAnsiTheme="minorHAnsi" w:cstheme="minorHAnsi"/>
              </w:rPr>
              <w:t>0.000</w:t>
            </w:r>
          </w:p>
        </w:tc>
      </w:tr>
      <w:tr w:rsidR="003B6666" w:rsidRPr="00067267" w:rsidTr="003B6666">
        <w:tc>
          <w:tcPr>
            <w:tcW w:w="5000" w:type="pct"/>
            <w:gridSpan w:val="4"/>
            <w:tcBorders>
              <w:top w:val="single" w:sz="4" w:space="0" w:color="auto"/>
              <w:left w:val="nil"/>
              <w:bottom w:val="nil"/>
              <w:right w:val="nil"/>
            </w:tcBorders>
          </w:tcPr>
          <w:p w:rsidR="003B6666" w:rsidRPr="00067267" w:rsidRDefault="003B6666" w:rsidP="003B6666">
            <w:pPr>
              <w:pStyle w:val="ListParagraph"/>
              <w:spacing w:after="0"/>
              <w:ind w:left="0"/>
              <w:rPr>
                <w:rFonts w:asciiTheme="minorHAnsi" w:hAnsiTheme="minorHAnsi" w:cstheme="minorHAnsi"/>
              </w:rPr>
            </w:pPr>
            <w:r w:rsidRPr="00067267">
              <w:t>Source</w:t>
            </w:r>
            <w:r w:rsidRPr="00067267">
              <w:rPr>
                <w:i/>
              </w:rPr>
              <w:t>:</w:t>
            </w:r>
            <w:r w:rsidRPr="00067267">
              <w:rPr>
                <w:i/>
                <w:lang w:val="en-US"/>
              </w:rPr>
              <w:t xml:space="preserve"> </w:t>
            </w:r>
            <w:r w:rsidRPr="00067267">
              <w:rPr>
                <w:lang w:val="en-US"/>
              </w:rPr>
              <w:t>Processed data, 2020</w:t>
            </w:r>
          </w:p>
        </w:tc>
      </w:tr>
    </w:tbl>
    <w:bookmarkStart w:id="1" w:name="_Table._3._Hosmer"/>
    <w:bookmarkEnd w:id="1"/>
    <w:p w:rsidR="00F45A96" w:rsidRPr="00067267" w:rsidRDefault="00866B0F" w:rsidP="003B6666">
      <w:pPr>
        <w:spacing w:after="0"/>
        <w:ind w:firstLine="720"/>
        <w:jc w:val="both"/>
        <w:rPr>
          <w:lang w:val="en-US"/>
        </w:rPr>
      </w:pPr>
      <w:r w:rsidRPr="00067267">
        <w:fldChar w:fldCharType="begin"/>
      </w:r>
      <w:r w:rsidRPr="00067267">
        <w:instrText xml:space="preserve"> HYPERLINK \l "_Table_6._Regression" </w:instrText>
      </w:r>
      <w:r w:rsidRPr="00067267">
        <w:fldChar w:fldCharType="separate"/>
      </w:r>
      <w:r w:rsidR="00F45A96" w:rsidRPr="00067267">
        <w:rPr>
          <w:rStyle w:val="Hyperlink"/>
          <w:u w:val="none"/>
          <w:lang w:val="en-US"/>
        </w:rPr>
        <w:t>Table 6</w:t>
      </w:r>
      <w:r w:rsidR="00B70D13" w:rsidRPr="00067267">
        <w:rPr>
          <w:rStyle w:val="Hyperlink"/>
          <w:u w:val="none"/>
          <w:lang w:val="en-US"/>
        </w:rPr>
        <w:t>.</w:t>
      </w:r>
      <w:r w:rsidRPr="00067267">
        <w:rPr>
          <w:rStyle w:val="Hyperlink"/>
          <w:u w:val="none"/>
          <w:lang w:val="en-US"/>
        </w:rPr>
        <w:fldChar w:fldCharType="end"/>
      </w:r>
      <w:r w:rsidR="00F45A96" w:rsidRPr="00067267">
        <w:rPr>
          <w:lang w:val="en-US"/>
        </w:rPr>
        <w:t xml:space="preserve"> shows that hypothesis 1 the </w:t>
      </w:r>
      <w:r w:rsidR="003B6666" w:rsidRPr="00067267">
        <w:t xml:space="preserve">the financial stability has not significant on fraudulent financial report. Based on the analysis result the financial stability variable has wald value or t table of 1.529&lt; t table or sig α of 0.317 greater than 0.05 level of significant, thus, it can be concluded that hypothesis 1 is rejected.  </w:t>
      </w:r>
      <w:r w:rsidR="003B6666" w:rsidRPr="00067267">
        <w:rPr>
          <w:lang w:val="en"/>
        </w:rPr>
        <w:t>Financial stability is not significant for fraudulent financial statements, this can be explain from the financial stability which is proxied by the ratio of changes in assets. The high increase in assets and asset growth indicates that the company has good financial stability so that pressure on management is low. If the pressure is low, it will not encourage fraud. In addition, the growth rate of asset value has no effect on fraudulent financial statements, if the company has an internal control system that is able to eliminate opportunities that arise. Because an effective internal control system can prevent fraud. In addition, the company culture also supports where a strong corporate culture with upheld norms and values ​​will create consistency in continuing to strive to achieve goals in a way that is in accordance with company values ​​</w:t>
      </w:r>
      <w:r w:rsidR="003E3538" w:rsidRPr="00067267">
        <w:rPr>
          <w:lang w:val="en"/>
        </w:rPr>
        <w:t>even in unstable conditions</w:t>
      </w:r>
      <w:r w:rsidR="003B6666" w:rsidRPr="00067267">
        <w:rPr>
          <w:lang w:val="en"/>
        </w:rPr>
        <w:t>.</w:t>
      </w:r>
      <w:bookmarkStart w:id="2" w:name="_Table._4._Omnibus"/>
      <w:bookmarkEnd w:id="2"/>
      <w:r w:rsidR="003B6666" w:rsidRPr="00067267">
        <w:rPr>
          <w:lang w:val="en-US"/>
        </w:rPr>
        <w:t xml:space="preserve"> </w:t>
      </w:r>
      <w:r w:rsidR="003B6666" w:rsidRPr="00067267">
        <w:rPr>
          <w:lang w:val="en"/>
        </w:rPr>
        <w:t xml:space="preserve">The facts and explanations above are supported by the essence of the fraud triangle theory which states that one element cannot stand alone. </w:t>
      </w:r>
      <w:r w:rsidR="003B6666" w:rsidRPr="00067267">
        <w:rPr>
          <w:lang w:val="en-US"/>
        </w:rPr>
        <w:t xml:space="preserve">This study is consistent and agrees with the research </w:t>
      </w:r>
      <w:hyperlink w:anchor="_References_1" w:history="1">
        <w:r w:rsidR="00F45A96" w:rsidRPr="00067267">
          <w:rPr>
            <w:rStyle w:val="Hyperlink"/>
            <w:u w:val="none"/>
            <w:lang w:val="en-US"/>
          </w:rPr>
          <w:t>Zahro et al</w:t>
        </w:r>
        <w:r w:rsidR="000645FF" w:rsidRPr="00067267">
          <w:rPr>
            <w:rStyle w:val="Hyperlink"/>
            <w:u w:val="none"/>
            <w:lang w:val="en-US"/>
          </w:rPr>
          <w:t>.</w:t>
        </w:r>
        <w:r w:rsidR="00F45A96" w:rsidRPr="00067267">
          <w:rPr>
            <w:rStyle w:val="Hyperlink"/>
            <w:u w:val="none"/>
            <w:lang w:val="en-US"/>
          </w:rPr>
          <w:t xml:space="preserve"> (2018)</w:t>
        </w:r>
      </w:hyperlink>
      <w:r w:rsidR="00F45A96" w:rsidRPr="00067267">
        <w:rPr>
          <w:lang w:val="en-US"/>
        </w:rPr>
        <w:t xml:space="preserve"> but contrasts with research from </w:t>
      </w:r>
      <w:r w:rsidR="00DB3951" w:rsidRPr="00067267">
        <w:rPr>
          <w:lang w:val="en-US"/>
        </w:rPr>
        <w:fldChar w:fldCharType="begin" w:fldLock="1"/>
      </w:r>
      <w:r w:rsidR="00DB3951" w:rsidRPr="00067267">
        <w:rPr>
          <w:lang w:val="en-US"/>
        </w:rPr>
        <w:instrText>ADDIN CSL_CITATION {"citationItems":[{"id":"ITEM-1","itemData":{"author":[{"dropping-particle":"","family":"Tiffani","given":"Laila","non-dropping-particle":"","parse-names":false,"suffix":""},{"dropping-particle":"","family":"Marfuah","given":"","non-dropping-particle":"","parse-names":false,"suffix":""}],"container-title":"Akuntansi dan auditing Indonesia","id":"ITEM-1","issue":"2","issued":{"date-parts":[["2015"]]},"page":"112-125","title":"Deteksi financial stetement fraud : pengujian dengan fraud diamond","type":"article-journal","volume":"19"},"uris":["http://www.mendeley.com/documents/?uuid=b34405bc-5b79-414c-8da2-1b7a44a669fc"]}],"mendeley":{"formattedCitation":"(Tiffani &amp; Marfuah, 2015)","plainTextFormattedCitation":"(Tiffani &amp; Marfuah, 2015)","previouslyFormattedCitation":"(Tiffani &amp; Marfuah, 2015)"},"properties":{"noteIndex":0},"schema":"https://github.com/citation-style-language/schema/raw/master/csl-citation.json"}</w:instrText>
      </w:r>
      <w:r w:rsidR="00DB3951" w:rsidRPr="00067267">
        <w:rPr>
          <w:lang w:val="en-US"/>
        </w:rPr>
        <w:fldChar w:fldCharType="separate"/>
      </w:r>
      <w:r w:rsidR="00DB3951" w:rsidRPr="00067267">
        <w:rPr>
          <w:noProof/>
          <w:lang w:val="en-US"/>
        </w:rPr>
        <w:t>(</w:t>
      </w:r>
      <w:hyperlink w:anchor="_References_1" w:history="1">
        <w:r w:rsidR="00DB3951" w:rsidRPr="00067267">
          <w:rPr>
            <w:rStyle w:val="Hyperlink"/>
            <w:noProof/>
            <w:u w:val="none"/>
            <w:lang w:val="en-US"/>
          </w:rPr>
          <w:t>Tiffani &amp; Marfuah,</w:t>
        </w:r>
      </w:hyperlink>
      <w:r w:rsidR="00DB3951" w:rsidRPr="00067267">
        <w:rPr>
          <w:noProof/>
          <w:lang w:val="en-US"/>
        </w:rPr>
        <w:t xml:space="preserve"> </w:t>
      </w:r>
      <w:hyperlink w:anchor="_References_1" w:history="1">
        <w:r w:rsidR="00DB3951" w:rsidRPr="00067267">
          <w:rPr>
            <w:rStyle w:val="Hyperlink"/>
            <w:noProof/>
            <w:u w:val="none"/>
            <w:lang w:val="en-US"/>
          </w:rPr>
          <w:t>2015</w:t>
        </w:r>
      </w:hyperlink>
      <w:r w:rsidR="00DB3951" w:rsidRPr="00067267">
        <w:rPr>
          <w:noProof/>
          <w:lang w:val="en-US"/>
        </w:rPr>
        <w:t>)</w:t>
      </w:r>
      <w:r w:rsidR="00DB3951" w:rsidRPr="00067267">
        <w:rPr>
          <w:lang w:val="en-US"/>
        </w:rPr>
        <w:fldChar w:fldCharType="end"/>
      </w:r>
      <w:r w:rsidR="004E0439" w:rsidRPr="00067267">
        <w:rPr>
          <w:lang w:val="en-US"/>
        </w:rPr>
        <w:t>.</w:t>
      </w:r>
    </w:p>
    <w:p w:rsidR="00F45A96" w:rsidRPr="00067267" w:rsidRDefault="00F45A96" w:rsidP="00F45A96">
      <w:pPr>
        <w:spacing w:after="0"/>
        <w:ind w:firstLine="720"/>
        <w:jc w:val="both"/>
        <w:rPr>
          <w:lang w:val="en-US"/>
        </w:rPr>
      </w:pPr>
      <w:r w:rsidRPr="00067267">
        <w:rPr>
          <w:lang w:val="en-US"/>
        </w:rPr>
        <w:t>Hypothesis 2 states that the external pressure has not significant on fraudulent on financial report. Analysis results</w:t>
      </w:r>
      <w:r w:rsidR="00EC6B1D" w:rsidRPr="00067267">
        <w:rPr>
          <w:lang w:val="en-US"/>
        </w:rPr>
        <w:t xml:space="preserve"> on </w:t>
      </w:r>
      <w:hyperlink w:anchor="_Table_6._Regression" w:history="1">
        <w:r w:rsidR="00EC6B1D" w:rsidRPr="00067267">
          <w:rPr>
            <w:rStyle w:val="Hyperlink"/>
            <w:u w:val="none"/>
            <w:lang w:val="en-US"/>
          </w:rPr>
          <w:t>T</w:t>
        </w:r>
        <w:r w:rsidRPr="00067267">
          <w:rPr>
            <w:rStyle w:val="Hyperlink"/>
            <w:u w:val="none"/>
            <w:lang w:val="en-US"/>
          </w:rPr>
          <w:t>able 6</w:t>
        </w:r>
        <w:r w:rsidR="00EC6B1D" w:rsidRPr="00067267">
          <w:rPr>
            <w:rStyle w:val="Hyperlink"/>
            <w:u w:val="none"/>
            <w:lang w:val="en-US"/>
          </w:rPr>
          <w:t>.</w:t>
        </w:r>
      </w:hyperlink>
      <w:r w:rsidRPr="00067267">
        <w:rPr>
          <w:lang w:val="en-US"/>
        </w:rPr>
        <w:t xml:space="preserve"> show Wald value of 0.543 should be greater than 1.96, sig.</w:t>
      </w:r>
      <w:r w:rsidR="004E0439" w:rsidRPr="00067267">
        <w:rPr>
          <w:lang w:val="en-US"/>
        </w:rPr>
        <w:t xml:space="preserve"> </w:t>
      </w:r>
      <w:r w:rsidRPr="00067267">
        <w:rPr>
          <w:lang w:val="en-US"/>
        </w:rPr>
        <w:t xml:space="preserve">value 0.508&gt; 0.05, thus hypothesis 2 is rejected. </w:t>
      </w:r>
      <w:r w:rsidR="003B6666" w:rsidRPr="00067267">
        <w:rPr>
          <w:lang w:val="en-US"/>
        </w:rPr>
        <w:t>This hypothesis is rejected and it can be explained that the composition of funding with liabilities creates pressure for management, but according to the results of this study, this pressure has no effect on the occurrence of fraudulent financial statements. Company has good liquidity reserves therefore the company has a confidence that the entity can fulfill its obligations so that pressure can be relieved. The results of the data sample show that 87.5% of the data sample has positive cash flow which can indicate company get confidence. Another reason that external pressure has no effect cause of the company has an effective liquidity and projection cash flow management since it considers appropriate funding alternatives and the ability to manage leverage well. Productive debt will provide benefits so that the existing pressure can be reduced and fraud does not occur.</w:t>
      </w:r>
      <w:r w:rsidRPr="00067267">
        <w:rPr>
          <w:lang w:val="en-US"/>
        </w:rPr>
        <w:t xml:space="preserve"> </w:t>
      </w:r>
      <w:r w:rsidR="003B6666" w:rsidRPr="00067267">
        <w:rPr>
          <w:lang w:val="en"/>
        </w:rPr>
        <w:t xml:space="preserve">The facts and explanations above are supported by the essence of the fraud triangle theory which states that one element cannot stand alone. </w:t>
      </w:r>
      <w:r w:rsidRPr="00067267">
        <w:rPr>
          <w:lang w:val="en-US"/>
        </w:rPr>
        <w:t xml:space="preserve">The results of this study support the research of </w:t>
      </w:r>
      <w:hyperlink w:anchor="_References_1" w:history="1">
        <w:r w:rsidRPr="00067267">
          <w:rPr>
            <w:rStyle w:val="Hyperlink"/>
            <w:u w:val="none"/>
            <w:lang w:val="en-US"/>
          </w:rPr>
          <w:fldChar w:fldCharType="begin" w:fldLock="1"/>
        </w:r>
        <w:r w:rsidR="008147B7" w:rsidRPr="00067267">
          <w:rPr>
            <w:rStyle w:val="Hyperlink"/>
            <w:u w:val="none"/>
            <w:lang w:val="en-US"/>
          </w:rPr>
          <w:instrText>ADDIN CSL_CITATION {"citationItems":[{"id":"ITEM-1","itemData":{"DOI":"10.2991/aicar-18.2019.13","author":[{"dropping-particle":"","family":"Muhamad Safiq","given":"","non-dropping-particle":"","parse-names":false,"suffix":""},{"dropping-particle":"","family":"Wike Seles","given":"","non-dropping-particle":"","parse-names":false,"suffix":""}],"container-title":"Proceedings of the 5th Annual International Conference on Accounting Research (AICAR 2018)","id":"ITEM-1","issued":{"date-parts":[["2018"]]},"page":"57-61","title":"The effect of external pressures, financial targets and financial distress on financiaol statement fraud","type":"paper-conference"},"uris":["http://www.mendeley.com/documents/?uuid=3c7cba9f-8315-4db0-9167-30fe428426e3"]}],"mendeley":{"formattedCitation":"(Muhamad Safiq &amp; Wike Seles, 2018)","manualFormatting":"Safig &amp; Seles, (2018)","plainTextFormattedCitation":"(Muhamad Safiq &amp; Wike Seles, 2018)","previouslyFormattedCitation":"(Muhamad Safiq &amp; Wike Seles, 2018)"},"properties":{"noteIndex":0},"schema":"https://github.com/citation-style-language/schema/raw/master/csl-citation.json"}</w:instrText>
        </w:r>
        <w:r w:rsidRPr="00067267">
          <w:rPr>
            <w:rStyle w:val="Hyperlink"/>
            <w:u w:val="none"/>
            <w:lang w:val="en-US"/>
          </w:rPr>
          <w:fldChar w:fldCharType="separate"/>
        </w:r>
        <w:r w:rsidRPr="00067267">
          <w:rPr>
            <w:rStyle w:val="Hyperlink"/>
            <w:noProof/>
            <w:u w:val="none"/>
            <w:lang w:val="en-US"/>
          </w:rPr>
          <w:t>Safig &amp; Seles, (2018)</w:t>
        </w:r>
        <w:r w:rsidRPr="00067267">
          <w:rPr>
            <w:rStyle w:val="Hyperlink"/>
            <w:u w:val="none"/>
            <w:lang w:val="en-US"/>
          </w:rPr>
          <w:fldChar w:fldCharType="end"/>
        </w:r>
      </w:hyperlink>
      <w:r w:rsidRPr="00067267">
        <w:rPr>
          <w:lang w:val="en-US"/>
        </w:rPr>
        <w:t xml:space="preserve"> and do not support research </w:t>
      </w:r>
      <w:r w:rsidR="004E0439" w:rsidRPr="00067267">
        <w:rPr>
          <w:lang w:val="en-US"/>
        </w:rPr>
        <w:fldChar w:fldCharType="begin" w:fldLock="1"/>
      </w:r>
      <w:r w:rsidR="004E0439" w:rsidRPr="00067267">
        <w:rPr>
          <w:lang w:val="en-US"/>
        </w:rPr>
        <w:instrText>ADDIN CSL_CITATION {"citationItems":[{"id":"ITEM-1","itemData":{"author":[{"dropping-particle":"","family":"Tiffani","given":"Laila","non-dropping-particle":"","parse-names":false,"suffix":""},{"dropping-particle":"","family":"Marfuah","given":"","non-dropping-particle":"","parse-names":false,"suffix":""}],"container-title":"Akuntansi dan auditing Indonesia","id":"ITEM-1","issue":"2","issued":{"date-parts":[["2015"]]},"page":"112-125","title":"Deteksi financial stetement fraud : pengujian dengan fraud diamond","type":"article-journal","volume":"19"},"uris":["http://www.mendeley.com/documents/?uuid=b34405bc-5b79-414c-8da2-1b7a44a669fc"]}],"mendeley":{"formattedCitation":"(Tiffani &amp; Marfuah, 2015)","manualFormatting":"Tiffani &amp; Marfuah, (2015)","plainTextFormattedCitation":"(Tiffani &amp; Marfuah, 2015)","previouslyFormattedCitation":"(Tiffani &amp; Marfuah, 2015)"},"properties":{"noteIndex":0},"schema":"https://github.com/citation-style-language/schema/raw/master/csl-citation.json"}</w:instrText>
      </w:r>
      <w:r w:rsidR="004E0439" w:rsidRPr="00067267">
        <w:rPr>
          <w:lang w:val="en-US"/>
        </w:rPr>
        <w:fldChar w:fldCharType="separate"/>
      </w:r>
      <w:hyperlink w:anchor="_References_1" w:history="1">
        <w:r w:rsidR="004E0439" w:rsidRPr="00067267">
          <w:rPr>
            <w:rStyle w:val="Hyperlink"/>
            <w:noProof/>
            <w:u w:val="none"/>
            <w:lang w:val="en-US"/>
          </w:rPr>
          <w:t>Tiffani &amp; Marfuah,</w:t>
        </w:r>
      </w:hyperlink>
      <w:r w:rsidR="004E0439" w:rsidRPr="00067267">
        <w:rPr>
          <w:noProof/>
          <w:lang w:val="en-US"/>
        </w:rPr>
        <w:t xml:space="preserve"> (</w:t>
      </w:r>
      <w:hyperlink w:anchor="_References_1" w:history="1">
        <w:r w:rsidR="004E0439" w:rsidRPr="00067267">
          <w:rPr>
            <w:rStyle w:val="Hyperlink"/>
            <w:noProof/>
            <w:u w:val="none"/>
            <w:lang w:val="en-US"/>
          </w:rPr>
          <w:t>2015</w:t>
        </w:r>
      </w:hyperlink>
      <w:r w:rsidR="004E0439" w:rsidRPr="00067267">
        <w:rPr>
          <w:noProof/>
          <w:lang w:val="en-US"/>
        </w:rPr>
        <w:t>)</w:t>
      </w:r>
      <w:r w:rsidR="004E0439" w:rsidRPr="00067267">
        <w:rPr>
          <w:lang w:val="en-US"/>
        </w:rPr>
        <w:fldChar w:fldCharType="end"/>
      </w:r>
      <w:r w:rsidRPr="00067267">
        <w:rPr>
          <w:lang w:val="en-US"/>
        </w:rPr>
        <w:t>.</w:t>
      </w:r>
    </w:p>
    <w:p w:rsidR="00F45A96" w:rsidRPr="00067267" w:rsidRDefault="00F45A96" w:rsidP="00F45A96">
      <w:pPr>
        <w:spacing w:after="0"/>
        <w:ind w:firstLine="720"/>
        <w:jc w:val="both"/>
        <w:rPr>
          <w:lang w:val="en-US"/>
        </w:rPr>
      </w:pPr>
      <w:r w:rsidRPr="00067267">
        <w:rPr>
          <w:lang w:val="en-US"/>
        </w:rPr>
        <w:lastRenderedPageBreak/>
        <w:t xml:space="preserve">Hypothesis 3 states that the financial targets have not significant on fraudulent financial reporting. </w:t>
      </w:r>
      <w:hyperlink w:anchor="_Table_6._Regression" w:history="1">
        <w:r w:rsidRPr="00067267">
          <w:rPr>
            <w:rStyle w:val="Hyperlink"/>
            <w:u w:val="none"/>
            <w:lang w:val="en-US"/>
          </w:rPr>
          <w:t>Table 6</w:t>
        </w:r>
        <w:r w:rsidR="004E0439" w:rsidRPr="00067267">
          <w:rPr>
            <w:rStyle w:val="Hyperlink"/>
            <w:u w:val="none"/>
            <w:lang w:val="en-US"/>
          </w:rPr>
          <w:t>.</w:t>
        </w:r>
      </w:hyperlink>
      <w:r w:rsidRPr="00067267">
        <w:rPr>
          <w:lang w:val="en-US"/>
        </w:rPr>
        <w:t xml:space="preserve"> show that sig value 0.683 &gt; 0.05 and Wald value 0.302 smaller tha</w:t>
      </w:r>
      <w:r w:rsidR="004E0439" w:rsidRPr="00067267">
        <w:rPr>
          <w:lang w:val="en-US"/>
        </w:rPr>
        <w:t>n 1.96 so, it means hyp</w:t>
      </w:r>
      <w:r w:rsidRPr="00067267">
        <w:rPr>
          <w:lang w:val="en-US"/>
        </w:rPr>
        <w:t>othesis 3 is rejected. These result consist and supported by the fraud triangle theory which states that one element cannot separate with another two elements. This can be identified because management awareness of the target setup is beyond the ability of the company. Besides that</w:t>
      </w:r>
      <w:r w:rsidR="004E0439" w:rsidRPr="00067267">
        <w:rPr>
          <w:lang w:val="en-US"/>
        </w:rPr>
        <w:t>,</w:t>
      </w:r>
      <w:r w:rsidRPr="00067267">
        <w:rPr>
          <w:lang w:val="en-US"/>
        </w:rPr>
        <w:t xml:space="preserve"> the internal control system which is already well in line with the Crime Triangle theory and the high level of ROA in the sample can put pressure and force management to look for strategies so that performance is getting higher too. This result is consistent with previous studies from </w:t>
      </w:r>
      <w:hyperlink w:anchor="_References_1" w:history="1">
        <w:r w:rsidRPr="00067267">
          <w:rPr>
            <w:rStyle w:val="Hyperlink"/>
            <w:u w:val="none"/>
            <w:lang w:val="en-US"/>
          </w:rPr>
          <w:t>Zahro et al (2018)</w:t>
        </w:r>
      </w:hyperlink>
      <w:r w:rsidRPr="00067267">
        <w:rPr>
          <w:lang w:val="en-US"/>
        </w:rPr>
        <w:t xml:space="preserve">, </w:t>
      </w:r>
      <w:r w:rsidR="004E0439" w:rsidRPr="00067267">
        <w:rPr>
          <w:lang w:val="en-US"/>
        </w:rPr>
        <w:fldChar w:fldCharType="begin" w:fldLock="1"/>
      </w:r>
      <w:r w:rsidR="004E0439" w:rsidRPr="00067267">
        <w:rPr>
          <w:lang w:val="en-US"/>
        </w:rPr>
        <w:instrText>ADDIN CSL_CITATION {"citationItems":[{"id":"ITEM-1","itemData":{"author":[{"dropping-particle":"","family":"Tiffani","given":"Laila","non-dropping-particle":"","parse-names":false,"suffix":""},{"dropping-particle":"","family":"Marfuah","given":"","non-dropping-particle":"","parse-names":false,"suffix":""}],"container-title":"Akuntansi dan auditing Indonesia","id":"ITEM-1","issue":"2","issued":{"date-parts":[["2015"]]},"page":"112-125","title":"Deteksi financial stetement fraud : pengujian dengan fraud diamond","type":"article-journal","volume":"19"},"uris":["http://www.mendeley.com/documents/?uuid=b34405bc-5b79-414c-8da2-1b7a44a669fc"]}],"mendeley":{"formattedCitation":"(Tiffani &amp; Marfuah, 2015)","manualFormatting":"Tiffani &amp; Marfuah, (2015)","plainTextFormattedCitation":"(Tiffani &amp; Marfuah, 2015)","previouslyFormattedCitation":"(Tiffani &amp; Marfuah, 2015)"},"properties":{"noteIndex":0},"schema":"https://github.com/citation-style-language/schema/raw/master/csl-citation.json"}</w:instrText>
      </w:r>
      <w:r w:rsidR="004E0439" w:rsidRPr="00067267">
        <w:rPr>
          <w:lang w:val="en-US"/>
        </w:rPr>
        <w:fldChar w:fldCharType="separate"/>
      </w:r>
      <w:hyperlink w:anchor="_References_1" w:history="1">
        <w:r w:rsidR="004E0439" w:rsidRPr="00067267">
          <w:rPr>
            <w:rStyle w:val="Hyperlink"/>
            <w:noProof/>
            <w:u w:val="none"/>
            <w:lang w:val="en-US"/>
          </w:rPr>
          <w:t>Tiffani &amp; Marfuah</w:t>
        </w:r>
      </w:hyperlink>
      <w:hyperlink w:anchor="_References_1" w:history="1">
        <w:r w:rsidR="004E0439" w:rsidRPr="00067267">
          <w:rPr>
            <w:rStyle w:val="Hyperlink"/>
            <w:noProof/>
            <w:u w:val="none"/>
            <w:lang w:val="en-US"/>
          </w:rPr>
          <w:t xml:space="preserve"> (2015)</w:t>
        </w:r>
      </w:hyperlink>
      <w:r w:rsidR="004E0439" w:rsidRPr="00067267">
        <w:rPr>
          <w:lang w:val="en-US"/>
        </w:rPr>
        <w:fldChar w:fldCharType="end"/>
      </w:r>
      <w:r w:rsidRPr="00067267">
        <w:rPr>
          <w:lang w:val="en-US"/>
        </w:rPr>
        <w:t xml:space="preserve"> but not consistent with studies from </w:t>
      </w:r>
      <w:hyperlink w:anchor="_References_1" w:history="1">
        <w:r w:rsidRPr="00067267">
          <w:rPr>
            <w:rStyle w:val="Hyperlink"/>
            <w:u w:val="none"/>
            <w:lang w:val="en-US"/>
          </w:rPr>
          <w:fldChar w:fldCharType="begin" w:fldLock="1"/>
        </w:r>
        <w:r w:rsidR="008147B7" w:rsidRPr="00067267">
          <w:rPr>
            <w:rStyle w:val="Hyperlink"/>
            <w:u w:val="none"/>
            <w:lang w:val="en-US"/>
          </w:rPr>
          <w:instrText>ADDIN CSL_CITATION {"citationItems":[{"id":"ITEM-1","itemData":{"DOI":"10.2991/aicar-18.2019.13","author":[{"dropping-particle":"","family":"Muhamad Safiq","given":"","non-dropping-particle":"","parse-names":false,"suffix":""},{"dropping-particle":"","family":"Wike Seles","given":"","non-dropping-particle":"","parse-names":false,"suffix":""}],"container-title":"Proceedings of the 5th Annual International Conference on Accounting Research (AICAR 2018)","id":"ITEM-1","issued":{"date-parts":[["2018"]]},"page":"57-61","title":"The effect of external pressures, financial targets and financial distress on financiaol statement fraud","type":"paper-conference"},"uris":["http://www.mendeley.com/documents/?uuid=3c7cba9f-8315-4db0-9167-30fe428426e3"]}],"mendeley":{"formattedCitation":"(Muhamad Safiq &amp; Wike Seles, 2018)","manualFormatting":"Safig &amp; Seles, (2018)","plainTextFormattedCitation":"(Muhamad Safiq &amp; Wike Seles, 2018)","previouslyFormattedCitation":"(Muhamad Safiq &amp; Wike Seles, 2018)"},"properties":{"noteIndex":0},"schema":"https://github.com/citation-style-language/schema/raw/master/csl-citation.json"}</w:instrText>
        </w:r>
        <w:r w:rsidRPr="00067267">
          <w:rPr>
            <w:rStyle w:val="Hyperlink"/>
            <w:u w:val="none"/>
            <w:lang w:val="en-US"/>
          </w:rPr>
          <w:fldChar w:fldCharType="separate"/>
        </w:r>
        <w:r w:rsidRPr="00067267">
          <w:rPr>
            <w:rStyle w:val="Hyperlink"/>
            <w:noProof/>
            <w:u w:val="none"/>
            <w:lang w:val="en-US"/>
          </w:rPr>
          <w:t>Safig &amp; Seles, (2018)</w:t>
        </w:r>
        <w:r w:rsidRPr="00067267">
          <w:rPr>
            <w:rStyle w:val="Hyperlink"/>
            <w:u w:val="none"/>
            <w:lang w:val="en-US"/>
          </w:rPr>
          <w:fldChar w:fldCharType="end"/>
        </w:r>
      </w:hyperlink>
      <w:r w:rsidRPr="00067267">
        <w:rPr>
          <w:lang w:val="en-US"/>
        </w:rPr>
        <w:t>.</w:t>
      </w:r>
    </w:p>
    <w:tbl>
      <w:tblPr>
        <w:tblStyle w:val="TableGrid"/>
        <w:tblpPr w:leftFromText="180" w:rightFromText="180" w:vertAnchor="page" w:horzAnchor="margin" w:tblpY="12241"/>
        <w:tblW w:w="0" w:type="auto"/>
        <w:tblLook w:val="04A0" w:firstRow="1" w:lastRow="0" w:firstColumn="1" w:lastColumn="0" w:noHBand="0" w:noVBand="1"/>
      </w:tblPr>
      <w:tblGrid>
        <w:gridCol w:w="928"/>
        <w:gridCol w:w="2087"/>
        <w:gridCol w:w="1096"/>
        <w:gridCol w:w="1569"/>
        <w:gridCol w:w="1030"/>
        <w:gridCol w:w="1226"/>
      </w:tblGrid>
      <w:tr w:rsidR="006F3219" w:rsidRPr="00067267" w:rsidTr="006F3219">
        <w:tc>
          <w:tcPr>
            <w:tcW w:w="0" w:type="auto"/>
            <w:gridSpan w:val="6"/>
            <w:tcBorders>
              <w:top w:val="nil"/>
              <w:left w:val="nil"/>
              <w:bottom w:val="nil"/>
              <w:right w:val="nil"/>
            </w:tcBorders>
          </w:tcPr>
          <w:p w:rsidR="006F3219" w:rsidRPr="00067267" w:rsidRDefault="006F3219" w:rsidP="0070062A">
            <w:pPr>
              <w:pStyle w:val="Heading1"/>
              <w:rPr>
                <w:szCs w:val="22"/>
              </w:rPr>
            </w:pPr>
            <w:r w:rsidRPr="00067267">
              <w:rPr>
                <w:szCs w:val="22"/>
              </w:rPr>
              <w:t>Table 5. Classification Table</w:t>
            </w:r>
          </w:p>
        </w:tc>
      </w:tr>
      <w:tr w:rsidR="006F3219" w:rsidRPr="00067267" w:rsidTr="006F3219">
        <w:tc>
          <w:tcPr>
            <w:tcW w:w="0" w:type="auto"/>
            <w:gridSpan w:val="3"/>
            <w:vMerge w:val="restart"/>
            <w:tcBorders>
              <w:top w:val="single" w:sz="4" w:space="0" w:color="auto"/>
              <w:left w:val="nil"/>
              <w:bottom w:val="nil"/>
              <w:right w:val="nil"/>
            </w:tcBorders>
          </w:tcPr>
          <w:p w:rsidR="006F3219" w:rsidRPr="00067267" w:rsidRDefault="006F3219" w:rsidP="006F3219">
            <w:pPr>
              <w:pStyle w:val="ListParagraph"/>
              <w:spacing w:after="0" w:line="240" w:lineRule="auto"/>
              <w:ind w:left="0"/>
              <w:jc w:val="center"/>
              <w:rPr>
                <w:rFonts w:asciiTheme="minorHAnsi" w:hAnsiTheme="minorHAnsi" w:cstheme="minorHAnsi"/>
              </w:rPr>
            </w:pPr>
          </w:p>
          <w:p w:rsidR="006F3219" w:rsidRPr="00067267" w:rsidRDefault="006F3219" w:rsidP="006F3219">
            <w:pPr>
              <w:pStyle w:val="ListParagraph"/>
              <w:spacing w:after="0" w:line="240" w:lineRule="auto"/>
              <w:ind w:left="0"/>
              <w:jc w:val="center"/>
              <w:rPr>
                <w:rFonts w:asciiTheme="minorHAnsi" w:hAnsiTheme="minorHAnsi" w:cstheme="minorHAnsi"/>
              </w:rPr>
            </w:pPr>
            <w:r w:rsidRPr="00067267">
              <w:rPr>
                <w:rFonts w:asciiTheme="minorHAnsi" w:hAnsiTheme="minorHAnsi" w:cstheme="minorHAnsi"/>
              </w:rPr>
              <w:t>Observed</w:t>
            </w:r>
          </w:p>
        </w:tc>
        <w:tc>
          <w:tcPr>
            <w:tcW w:w="0" w:type="auto"/>
            <w:gridSpan w:val="2"/>
            <w:tcBorders>
              <w:top w:val="single" w:sz="4" w:space="0" w:color="auto"/>
              <w:left w:val="nil"/>
              <w:bottom w:val="single" w:sz="4" w:space="0" w:color="auto"/>
              <w:right w:val="nil"/>
            </w:tcBorders>
          </w:tcPr>
          <w:p w:rsidR="006F3219" w:rsidRPr="00067267" w:rsidRDefault="006F3219" w:rsidP="006F3219">
            <w:pPr>
              <w:pStyle w:val="ListParagraph"/>
              <w:spacing w:after="0" w:line="240" w:lineRule="auto"/>
              <w:ind w:left="0"/>
              <w:jc w:val="center"/>
              <w:rPr>
                <w:rFonts w:asciiTheme="minorHAnsi" w:hAnsiTheme="minorHAnsi" w:cstheme="minorHAnsi"/>
              </w:rPr>
            </w:pPr>
            <w:r w:rsidRPr="00067267">
              <w:rPr>
                <w:rFonts w:asciiTheme="minorHAnsi" w:hAnsiTheme="minorHAnsi" w:cstheme="minorHAnsi"/>
              </w:rPr>
              <w:t>Predicted</w:t>
            </w:r>
          </w:p>
        </w:tc>
        <w:tc>
          <w:tcPr>
            <w:tcW w:w="0" w:type="auto"/>
            <w:tcBorders>
              <w:top w:val="single" w:sz="4" w:space="0" w:color="auto"/>
              <w:left w:val="nil"/>
              <w:bottom w:val="single" w:sz="4" w:space="0" w:color="auto"/>
              <w:right w:val="nil"/>
            </w:tcBorders>
          </w:tcPr>
          <w:p w:rsidR="006F3219" w:rsidRPr="00067267" w:rsidRDefault="006F3219" w:rsidP="006F3219">
            <w:pPr>
              <w:pStyle w:val="ListParagraph"/>
              <w:spacing w:after="0" w:line="240" w:lineRule="auto"/>
              <w:ind w:left="0"/>
              <w:jc w:val="center"/>
              <w:rPr>
                <w:rFonts w:asciiTheme="minorHAnsi" w:hAnsiTheme="minorHAnsi" w:cstheme="minorHAnsi"/>
              </w:rPr>
            </w:pPr>
          </w:p>
        </w:tc>
      </w:tr>
      <w:tr w:rsidR="006F3219" w:rsidRPr="00067267" w:rsidTr="006F3219">
        <w:tc>
          <w:tcPr>
            <w:tcW w:w="0" w:type="auto"/>
            <w:gridSpan w:val="3"/>
            <w:vMerge/>
            <w:tcBorders>
              <w:top w:val="nil"/>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tc>
        <w:tc>
          <w:tcPr>
            <w:tcW w:w="0" w:type="auto"/>
            <w:gridSpan w:val="2"/>
            <w:tcBorders>
              <w:top w:val="single" w:sz="4" w:space="0" w:color="auto"/>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Fraud on Financial Reporting</w:t>
            </w:r>
          </w:p>
        </w:tc>
        <w:tc>
          <w:tcPr>
            <w:tcW w:w="0" w:type="auto"/>
            <w:tcBorders>
              <w:top w:val="single" w:sz="4" w:space="0" w:color="auto"/>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Percentage</w:t>
            </w:r>
          </w:p>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correct</w:t>
            </w:r>
          </w:p>
        </w:tc>
      </w:tr>
      <w:tr w:rsidR="006F3219" w:rsidRPr="00067267" w:rsidTr="006F3219">
        <w:trPr>
          <w:trHeight w:val="166"/>
        </w:trPr>
        <w:tc>
          <w:tcPr>
            <w:tcW w:w="0" w:type="auto"/>
            <w:gridSpan w:val="3"/>
            <w:vMerge/>
            <w:tcBorders>
              <w:top w:val="nil"/>
              <w:left w:val="nil"/>
              <w:bottom w:val="single" w:sz="4" w:space="0" w:color="auto"/>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tc>
        <w:tc>
          <w:tcPr>
            <w:tcW w:w="0" w:type="auto"/>
            <w:tcBorders>
              <w:top w:val="nil"/>
              <w:left w:val="nil"/>
              <w:bottom w:val="single" w:sz="4" w:space="0" w:color="auto"/>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Non Fraud</w:t>
            </w:r>
          </w:p>
        </w:tc>
        <w:tc>
          <w:tcPr>
            <w:tcW w:w="0" w:type="auto"/>
            <w:tcBorders>
              <w:top w:val="nil"/>
              <w:left w:val="nil"/>
              <w:bottom w:val="single" w:sz="4" w:space="0" w:color="auto"/>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Fraud</w:t>
            </w:r>
          </w:p>
        </w:tc>
        <w:tc>
          <w:tcPr>
            <w:tcW w:w="0" w:type="auto"/>
            <w:tcBorders>
              <w:top w:val="nil"/>
              <w:left w:val="nil"/>
              <w:bottom w:val="single" w:sz="4" w:space="0" w:color="auto"/>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tc>
      </w:tr>
      <w:tr w:rsidR="006F3219" w:rsidRPr="00067267" w:rsidTr="006F3219">
        <w:tc>
          <w:tcPr>
            <w:tcW w:w="0" w:type="auto"/>
            <w:vMerge w:val="restart"/>
            <w:tcBorders>
              <w:top w:val="single" w:sz="4" w:space="0" w:color="auto"/>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p w:rsidR="006F3219" w:rsidRPr="00067267" w:rsidRDefault="006F3219" w:rsidP="006F3219">
            <w:pPr>
              <w:pStyle w:val="ListParagraph"/>
              <w:spacing w:after="0" w:line="240" w:lineRule="auto"/>
              <w:ind w:left="0"/>
              <w:jc w:val="both"/>
              <w:rPr>
                <w:rFonts w:asciiTheme="minorHAnsi" w:hAnsiTheme="minorHAnsi" w:cstheme="minorHAnsi"/>
              </w:rPr>
            </w:pPr>
          </w:p>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 xml:space="preserve">    Step 1</w:t>
            </w:r>
          </w:p>
        </w:tc>
        <w:tc>
          <w:tcPr>
            <w:tcW w:w="0" w:type="auto"/>
            <w:vMerge w:val="restart"/>
            <w:tcBorders>
              <w:top w:val="single" w:sz="4" w:space="0" w:color="auto"/>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 xml:space="preserve">Fraud </w:t>
            </w:r>
          </w:p>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On Financial Reporting</w:t>
            </w:r>
          </w:p>
        </w:tc>
        <w:tc>
          <w:tcPr>
            <w:tcW w:w="0" w:type="auto"/>
            <w:tcBorders>
              <w:top w:val="single" w:sz="4" w:space="0" w:color="auto"/>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Non Fraud</w:t>
            </w:r>
          </w:p>
        </w:tc>
        <w:tc>
          <w:tcPr>
            <w:tcW w:w="0" w:type="auto"/>
            <w:tcBorders>
              <w:top w:val="single" w:sz="4" w:space="0" w:color="auto"/>
              <w:left w:val="nil"/>
              <w:bottom w:val="nil"/>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p>
          <w:p w:rsidR="006F3219" w:rsidRPr="00067267" w:rsidRDefault="006F3219" w:rsidP="006F3219">
            <w:pPr>
              <w:pStyle w:val="ListParagraph"/>
              <w:spacing w:after="0" w:line="240" w:lineRule="auto"/>
              <w:ind w:left="0"/>
              <w:jc w:val="right"/>
              <w:rPr>
                <w:rFonts w:asciiTheme="minorHAnsi" w:hAnsiTheme="minorHAnsi" w:cstheme="minorHAnsi"/>
              </w:rPr>
            </w:pPr>
            <w:r w:rsidRPr="00067267">
              <w:rPr>
                <w:rFonts w:asciiTheme="minorHAnsi" w:hAnsiTheme="minorHAnsi" w:cstheme="minorHAnsi"/>
              </w:rPr>
              <w:t xml:space="preserve">    66</w:t>
            </w:r>
          </w:p>
        </w:tc>
        <w:tc>
          <w:tcPr>
            <w:tcW w:w="0" w:type="auto"/>
            <w:tcBorders>
              <w:top w:val="single" w:sz="4" w:space="0" w:color="auto"/>
              <w:left w:val="nil"/>
              <w:bottom w:val="nil"/>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p>
          <w:p w:rsidR="006F3219" w:rsidRPr="00067267" w:rsidRDefault="006F3219" w:rsidP="006F3219">
            <w:pPr>
              <w:pStyle w:val="ListParagraph"/>
              <w:spacing w:after="0" w:line="240" w:lineRule="auto"/>
              <w:ind w:left="0"/>
              <w:jc w:val="right"/>
              <w:rPr>
                <w:rFonts w:asciiTheme="minorHAnsi" w:hAnsiTheme="minorHAnsi" w:cstheme="minorHAnsi"/>
              </w:rPr>
            </w:pPr>
            <w:r w:rsidRPr="00067267">
              <w:rPr>
                <w:rFonts w:asciiTheme="minorHAnsi" w:hAnsiTheme="minorHAnsi" w:cstheme="minorHAnsi"/>
              </w:rPr>
              <w:t>8</w:t>
            </w:r>
          </w:p>
        </w:tc>
        <w:tc>
          <w:tcPr>
            <w:tcW w:w="0" w:type="auto"/>
            <w:tcBorders>
              <w:top w:val="single" w:sz="4" w:space="0" w:color="auto"/>
              <w:left w:val="nil"/>
              <w:bottom w:val="nil"/>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p>
          <w:p w:rsidR="006F3219" w:rsidRPr="00067267" w:rsidRDefault="006F3219" w:rsidP="006F3219">
            <w:pPr>
              <w:pStyle w:val="ListParagraph"/>
              <w:spacing w:after="0" w:line="240" w:lineRule="auto"/>
              <w:ind w:left="0"/>
              <w:jc w:val="right"/>
              <w:rPr>
                <w:rFonts w:asciiTheme="minorHAnsi" w:hAnsiTheme="minorHAnsi" w:cstheme="minorHAnsi"/>
              </w:rPr>
            </w:pPr>
            <w:r w:rsidRPr="00067267">
              <w:rPr>
                <w:rFonts w:asciiTheme="minorHAnsi" w:hAnsiTheme="minorHAnsi" w:cstheme="minorHAnsi"/>
              </w:rPr>
              <w:t>89.1</w:t>
            </w:r>
          </w:p>
        </w:tc>
      </w:tr>
      <w:tr w:rsidR="006F3219" w:rsidRPr="00067267" w:rsidTr="006F3219">
        <w:tc>
          <w:tcPr>
            <w:tcW w:w="0" w:type="auto"/>
            <w:vMerge/>
            <w:tcBorders>
              <w:top w:val="nil"/>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tc>
        <w:tc>
          <w:tcPr>
            <w:tcW w:w="0" w:type="auto"/>
            <w:vMerge/>
            <w:tcBorders>
              <w:top w:val="nil"/>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tc>
        <w:tc>
          <w:tcPr>
            <w:tcW w:w="0" w:type="auto"/>
            <w:tcBorders>
              <w:top w:val="nil"/>
              <w:left w:val="nil"/>
              <w:bottom w:val="nil"/>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Fraud</w:t>
            </w:r>
          </w:p>
        </w:tc>
        <w:tc>
          <w:tcPr>
            <w:tcW w:w="0" w:type="auto"/>
            <w:gridSpan w:val="2"/>
            <w:tcBorders>
              <w:top w:val="nil"/>
              <w:left w:val="nil"/>
              <w:bottom w:val="nil"/>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r w:rsidRPr="00067267">
              <w:rPr>
                <w:rFonts w:asciiTheme="minorHAnsi" w:hAnsiTheme="minorHAnsi" w:cstheme="minorHAnsi"/>
              </w:rPr>
              <w:t xml:space="preserve">  23             21</w:t>
            </w:r>
          </w:p>
        </w:tc>
        <w:tc>
          <w:tcPr>
            <w:tcW w:w="0" w:type="auto"/>
            <w:tcBorders>
              <w:top w:val="nil"/>
              <w:left w:val="nil"/>
              <w:bottom w:val="nil"/>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r w:rsidRPr="00067267">
              <w:rPr>
                <w:rFonts w:asciiTheme="minorHAnsi" w:hAnsiTheme="minorHAnsi" w:cstheme="minorHAnsi"/>
              </w:rPr>
              <w:t>52.3</w:t>
            </w:r>
          </w:p>
        </w:tc>
      </w:tr>
      <w:tr w:rsidR="006F3219" w:rsidRPr="00067267" w:rsidTr="006F3219">
        <w:tc>
          <w:tcPr>
            <w:tcW w:w="0" w:type="auto"/>
            <w:vMerge/>
            <w:tcBorders>
              <w:top w:val="nil"/>
              <w:left w:val="nil"/>
              <w:bottom w:val="single" w:sz="4" w:space="0" w:color="auto"/>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p>
        </w:tc>
        <w:tc>
          <w:tcPr>
            <w:tcW w:w="0" w:type="auto"/>
            <w:gridSpan w:val="2"/>
            <w:tcBorders>
              <w:top w:val="nil"/>
              <w:left w:val="nil"/>
              <w:bottom w:val="single" w:sz="4" w:space="0" w:color="auto"/>
              <w:right w:val="nil"/>
            </w:tcBorders>
          </w:tcPr>
          <w:p w:rsidR="006F3219" w:rsidRPr="00067267" w:rsidRDefault="006F3219" w:rsidP="006F3219">
            <w:pPr>
              <w:pStyle w:val="ListParagraph"/>
              <w:spacing w:after="0" w:line="240" w:lineRule="auto"/>
              <w:ind w:left="0"/>
              <w:jc w:val="both"/>
              <w:rPr>
                <w:rFonts w:asciiTheme="minorHAnsi" w:hAnsiTheme="minorHAnsi" w:cstheme="minorHAnsi"/>
              </w:rPr>
            </w:pPr>
            <w:r w:rsidRPr="00067267">
              <w:rPr>
                <w:rFonts w:asciiTheme="minorHAnsi" w:hAnsiTheme="minorHAnsi" w:cstheme="minorHAnsi"/>
              </w:rPr>
              <w:t>Overall Percentage</w:t>
            </w:r>
          </w:p>
        </w:tc>
        <w:tc>
          <w:tcPr>
            <w:tcW w:w="0" w:type="auto"/>
            <w:gridSpan w:val="2"/>
            <w:tcBorders>
              <w:top w:val="nil"/>
              <w:left w:val="nil"/>
              <w:bottom w:val="single" w:sz="4" w:space="0" w:color="auto"/>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p>
        </w:tc>
        <w:tc>
          <w:tcPr>
            <w:tcW w:w="0" w:type="auto"/>
            <w:tcBorders>
              <w:top w:val="nil"/>
              <w:left w:val="nil"/>
              <w:bottom w:val="single" w:sz="4" w:space="0" w:color="auto"/>
              <w:right w:val="nil"/>
            </w:tcBorders>
          </w:tcPr>
          <w:p w:rsidR="006F3219" w:rsidRPr="00067267" w:rsidRDefault="006F3219" w:rsidP="006F3219">
            <w:pPr>
              <w:pStyle w:val="ListParagraph"/>
              <w:spacing w:after="0" w:line="240" w:lineRule="auto"/>
              <w:ind w:left="0"/>
              <w:jc w:val="right"/>
              <w:rPr>
                <w:rFonts w:asciiTheme="minorHAnsi" w:hAnsiTheme="minorHAnsi" w:cstheme="minorHAnsi"/>
              </w:rPr>
            </w:pPr>
            <w:r w:rsidRPr="00067267">
              <w:rPr>
                <w:rFonts w:asciiTheme="minorHAnsi" w:hAnsiTheme="minorHAnsi" w:cstheme="minorHAnsi"/>
              </w:rPr>
              <w:t>80.1</w:t>
            </w:r>
          </w:p>
        </w:tc>
      </w:tr>
      <w:tr w:rsidR="006F3219" w:rsidRPr="00067267" w:rsidTr="006F3219">
        <w:tc>
          <w:tcPr>
            <w:tcW w:w="0" w:type="auto"/>
            <w:gridSpan w:val="6"/>
            <w:tcBorders>
              <w:top w:val="single" w:sz="4" w:space="0" w:color="auto"/>
              <w:left w:val="nil"/>
              <w:bottom w:val="nil"/>
              <w:right w:val="nil"/>
            </w:tcBorders>
          </w:tcPr>
          <w:p w:rsidR="006F3219" w:rsidRPr="00067267" w:rsidRDefault="006F3219" w:rsidP="00E26742">
            <w:pPr>
              <w:pStyle w:val="ListParagraph"/>
              <w:spacing w:after="0" w:line="240" w:lineRule="auto"/>
              <w:ind w:left="0"/>
              <w:rPr>
                <w:rFonts w:asciiTheme="minorHAnsi" w:hAnsiTheme="minorHAnsi" w:cstheme="minorHAnsi"/>
              </w:rPr>
            </w:pPr>
            <w:r w:rsidRPr="00067267">
              <w:t>Source</w:t>
            </w:r>
            <w:r w:rsidRPr="00067267">
              <w:rPr>
                <w:i/>
              </w:rPr>
              <w:t>:</w:t>
            </w:r>
            <w:r w:rsidRPr="00067267">
              <w:rPr>
                <w:i/>
                <w:lang w:val="en-US"/>
              </w:rPr>
              <w:t xml:space="preserve"> </w:t>
            </w:r>
            <w:r w:rsidR="00E26742" w:rsidRPr="00067267">
              <w:rPr>
                <w:lang w:val="en-US"/>
              </w:rPr>
              <w:t>P</w:t>
            </w:r>
            <w:r w:rsidRPr="00067267">
              <w:rPr>
                <w:lang w:val="en-US"/>
              </w:rPr>
              <w:t>rocessed</w:t>
            </w:r>
            <w:r w:rsidR="00E26742" w:rsidRPr="00067267">
              <w:rPr>
                <w:lang w:val="en-US"/>
              </w:rPr>
              <w:t xml:space="preserve"> data</w:t>
            </w:r>
            <w:r w:rsidRPr="00067267">
              <w:rPr>
                <w:lang w:val="en-US"/>
              </w:rPr>
              <w:t>, 2020</w:t>
            </w:r>
          </w:p>
        </w:tc>
      </w:tr>
    </w:tbl>
    <w:p w:rsidR="00531E97" w:rsidRPr="00067267" w:rsidRDefault="00F45A96" w:rsidP="003B6666">
      <w:pPr>
        <w:spacing w:after="0"/>
        <w:ind w:firstLine="720"/>
        <w:jc w:val="both"/>
        <w:rPr>
          <w:lang w:val="en-US"/>
        </w:rPr>
      </w:pPr>
      <w:r w:rsidRPr="00067267">
        <w:rPr>
          <w:lang w:val="en-US"/>
        </w:rPr>
        <w:t>Hypothesis 4 show that the ef</w:t>
      </w:r>
      <w:r w:rsidR="004E0439" w:rsidRPr="00067267">
        <w:rPr>
          <w:lang w:val="en-US"/>
        </w:rPr>
        <w:t>fective monitoring has a negativ</w:t>
      </w:r>
      <w:r w:rsidRPr="00067267">
        <w:rPr>
          <w:lang w:val="en-US"/>
        </w:rPr>
        <w:t xml:space="preserve">e significant on fraudulent financial reporting.  The sig value for effective monitoring is 0.000&lt; α 0.05 and Wald value 11.917 &lt;1.96 it </w:t>
      </w:r>
      <w:r w:rsidR="003B6666" w:rsidRPr="00067267">
        <w:rPr>
          <w:lang w:val="en-US"/>
        </w:rPr>
        <w:t>means hypothesis 4 is accepted.</w:t>
      </w:r>
      <w:r w:rsidRPr="00067267">
        <w:rPr>
          <w:lang w:val="en-US"/>
        </w:rPr>
        <w:t xml:space="preserve"> </w:t>
      </w:r>
      <w:r w:rsidR="003B6666" w:rsidRPr="00067267">
        <w:rPr>
          <w:lang w:val="en-US"/>
        </w:rPr>
        <w:t>The effectiveness of the board of commissioner will prevent management from opportunistic behavior and this is in line with agency theory. Board effectiveness is affect by several characteristics, such as board independence, board activity,</w:t>
      </w:r>
      <w:r w:rsidR="003E3538" w:rsidRPr="00067267">
        <w:rPr>
          <w:lang w:val="en-US"/>
        </w:rPr>
        <w:t xml:space="preserve"> board size and board competence</w:t>
      </w:r>
      <w:r w:rsidR="003B6666" w:rsidRPr="00067267">
        <w:rPr>
          <w:lang w:val="en-US"/>
        </w:rPr>
        <w:t xml:space="preserve">.  Higher characteristic of board of commissioner thus higher effective monitoring </w:t>
      </w:r>
      <w:r w:rsidR="003B6666" w:rsidRPr="00067267">
        <w:rPr>
          <w:lang w:val="en-US"/>
        </w:rPr>
        <w:fldChar w:fldCharType="begin" w:fldLock="1"/>
      </w:r>
      <w:r w:rsidR="003B6666" w:rsidRPr="00067267">
        <w:rPr>
          <w:lang w:val="en-US"/>
        </w:rPr>
        <w:instrText>ADDIN CSL_CITATION {"citationItems":[{"id":"ITEM-1","itemData":{"DOI":"10.1007/s10796-016-9647-9","ISSN":"15729419","abstract":"The objective of this study is to identify the financial statement fraud factors and rank the relative importance. First, this study reviews the previous studies to identify the possible fraud indicators. Expert questionnaires are distributed next. After questionnaires are collected, Lawshe’s approach is employed to eliminate these factors whose CVR (content validity ratio) values do not meet the criteria. Further, the remaining 32 factors are reviewed by experts to be the measurements suitable for the assessment of fraud detection. The Analytic Hierarchy Process (AHP) is utilized to determine the relative weights of the individual items. The result of AHP shows that the most important dimension is Pressure/Incentive and the least one is Attitude/rationalization. In addition, the top five important measurements are “Poor performance”, “The need for external financing”, “Financial distress”, “Insufficient board oversight”, and “Competition or market saturation”. The result provides a significant advantage to auditors and managers in enhancing the efficiency of fraud detection and critical evaluation.","author":[{"dropping-particle":"","family":"Huang","given":"Shaio Yan","non-dropping-particle":"","parse-names":false,"suffix":""},{"dropping-particle":"","family":"Lin","given":"Chi Chen","non-dropping-particle":"","parse-names":false,"suffix":""},{"dropping-particle":"","family":"Chiu","given":"An An","non-dropping-particle":"","parse-names":false,"suffix":""},{"dropping-particle":"","family":"Yen","given":"David C.","non-dropping-particle":"","parse-names":false,"suffix":""}],"container-title":"Information Systems Frontiers","id":"ITEM-1","issued":{"date-parts":[["2017"]]},"page":"1343-1356","title":"Fraud detection using fraud triangle risk factors","type":"article-journal","volume":"19"},"uris":["http://www.mendeley.com/documents/?uuid=61777a1f-63f8-4532-b757-6660bb571ffb"]}],"mendeley":{"formattedCitation":"(Huang, Lin, Chiu, &amp; Yen, 2017)","manualFormatting":"(Huang et al, 2017)","plainTextFormattedCitation":"(Huang, Lin, Chiu, &amp; Yen, 2017)","previouslyFormattedCitation":"(Huang, Lin, Chiu, &amp; Yen, 2017)"},"properties":{"noteIndex":0},"schema":"https://github.com/citation-style-language/schema/raw/master/csl-citation.json"}</w:instrText>
      </w:r>
      <w:r w:rsidR="003B6666" w:rsidRPr="00067267">
        <w:rPr>
          <w:lang w:val="en-US"/>
        </w:rPr>
        <w:fldChar w:fldCharType="separate"/>
      </w:r>
      <w:r w:rsidR="003B6666" w:rsidRPr="00067267">
        <w:rPr>
          <w:lang w:val="en-US"/>
        </w:rPr>
        <w:t>(</w:t>
      </w:r>
      <w:hyperlink w:anchor="_References_1" w:history="1">
        <w:r w:rsidR="003B6666" w:rsidRPr="00067267">
          <w:rPr>
            <w:rStyle w:val="Hyperlink"/>
            <w:u w:val="none"/>
            <w:lang w:val="en-US"/>
          </w:rPr>
          <w:t>Huang et al</w:t>
        </w:r>
        <w:r w:rsidR="003E3538" w:rsidRPr="00067267">
          <w:rPr>
            <w:rStyle w:val="Hyperlink"/>
            <w:u w:val="none"/>
            <w:lang w:val="en-US"/>
          </w:rPr>
          <w:t>.</w:t>
        </w:r>
        <w:r w:rsidR="003B6666" w:rsidRPr="00067267">
          <w:rPr>
            <w:rStyle w:val="Hyperlink"/>
            <w:u w:val="none"/>
            <w:lang w:val="en-US"/>
          </w:rPr>
          <w:t xml:space="preserve"> 2017</w:t>
        </w:r>
      </w:hyperlink>
      <w:r w:rsidR="003B6666" w:rsidRPr="00067267">
        <w:rPr>
          <w:lang w:val="en-US"/>
        </w:rPr>
        <w:t>)</w:t>
      </w:r>
      <w:r w:rsidR="003B6666" w:rsidRPr="00067267">
        <w:rPr>
          <w:lang w:val="en-US"/>
        </w:rPr>
        <w:fldChar w:fldCharType="end"/>
      </w:r>
      <w:r w:rsidR="003B6666" w:rsidRPr="00067267">
        <w:rPr>
          <w:lang w:val="en-US"/>
        </w:rPr>
        <w:t xml:space="preserve">. Effective internal monitoring can maintain reliability of fraudulent on financial statement. The higher and more effective level of supervision from both the board of commissioners and the audit committee will reduce the occurrence of fraudulent financial report </w:t>
      </w:r>
      <w:r w:rsidR="003E3538" w:rsidRPr="00067267">
        <w:rPr>
          <w:lang w:val="en-US"/>
        </w:rPr>
        <w:t>(</w:t>
      </w:r>
      <w:r w:rsidR="003B6666" w:rsidRPr="00067267">
        <w:rPr>
          <w:lang w:val="en-US"/>
        </w:rPr>
        <w:fldChar w:fldCharType="begin" w:fldLock="1"/>
      </w:r>
      <w:r w:rsidR="003B6666" w:rsidRPr="00067267">
        <w:rPr>
          <w:lang w:val="en-US"/>
        </w:rPr>
        <w:instrText>ADDIN CSL_CITATION {"citationItems":[{"id":"ITEM-1","itemData":{"DOI":"10.2308/acch.2000.14.4.441","ISSN":"08887993","abstract":"This paper provides insight into financial statement fraud instances investigated during the late 1980s through the 1990s within three volatile industries- technology, health care, and financial services-and highlights important corporate governance differences between fraud companies and no-fraud benchmarks on an industry-by-industry basis. The fraud techniques used vary substantially across industries, with revenue frauds most common in technology companies and asset frauds and misappropriations most common in financial-services firms. For each of these three industries, the sample fraud companies have very weak governance mechanisms relative to no-fraud industry benchmarks. Consistent with prior research, the fraud companies in the technology and financial-services industries have fewer audit committees, while fraud companies in all three industries have less independent audit committees and less independent boards. In addition, this study provides initial evidence that the fraud companies in the technology and health-care industries have fewer audit committee meetings, and fraud companies in all three industries have less internal audit support. This study of more current financial statement fraud instances contributes by updating our understanding of fraud techniques and risk factors in three key industries. Auditors should consider the industry context as they evaluate the risk of financial fraud, and they should compare clients' governance mechanisms to relevant no-fraud industry benchmarks. © 2000 American Accounting Association.","author":[{"dropping-particle":"","family":"Beasley","given":"Mark S.","non-dropping-particle":"","parse-names":false,"suffix":""},{"dropping-particle":"V.","family":"Carcello","given":"Joseph","non-dropping-particle":"","parse-names":false,"suffix":""},{"dropping-particle":"","family":"Hermanson","given":"Dana R.","non-dropping-particle":"","parse-names":false,"suffix":""},{"dropping-particle":"","family":"Lapides","given":"Paul D.","non-dropping-particle":"","parse-names":false,"suffix":""}],"container-title":"Accounting Horizons","id":"ITEM-1","issue":"4","issued":{"date-parts":[["2000"]]},"page":"441-454","title":"Fraudulent financial reporting: Consideration of industry traits and corporate governance mechanisms","type":"article-journal","volume":"14"},"uris":["http://www.mendeley.com/documents/?uuid=2045b4dd-adfb-47b7-b556-d2ad0b7501c6"]}],"mendeley":{"formattedCitation":"(Beasley, Carcello, Hermanson, &amp; Lapides, 2000)","manualFormatting":"(Beasley et al, 2000)","plainTextFormattedCitation":"(Beasley, Carcello, Hermanson, &amp; Lapides, 2000)","previouslyFormattedCitation":"(Beasley, Carcello, Hermanson, &amp; Lapides, 2000)"},"properties":{"noteIndex":0},"schema":"https://github.com/citation-style-language/schema/raw/master/csl-citation.json"}</w:instrText>
      </w:r>
      <w:r w:rsidR="003B6666" w:rsidRPr="00067267">
        <w:rPr>
          <w:lang w:val="en-US"/>
        </w:rPr>
        <w:fldChar w:fldCharType="separate"/>
      </w:r>
      <w:hyperlink w:anchor="_References_1" w:history="1">
        <w:r w:rsidR="003B6666" w:rsidRPr="00067267">
          <w:rPr>
            <w:rStyle w:val="Hyperlink"/>
            <w:u w:val="none"/>
            <w:lang w:val="en-US"/>
          </w:rPr>
          <w:t>Beasley et al, 2000</w:t>
        </w:r>
      </w:hyperlink>
      <w:r w:rsidR="003B6666" w:rsidRPr="00067267">
        <w:rPr>
          <w:lang w:val="en-US"/>
        </w:rPr>
        <w:t>)</w:t>
      </w:r>
      <w:r w:rsidR="003B6666" w:rsidRPr="00067267">
        <w:rPr>
          <w:lang w:val="en-US"/>
        </w:rPr>
        <w:fldChar w:fldCharType="end"/>
      </w:r>
      <w:r w:rsidR="003B6666" w:rsidRPr="00067267">
        <w:rPr>
          <w:lang w:val="en-US"/>
        </w:rPr>
        <w:t xml:space="preserve">. When a company implements a new information system such as using big data analysis technology or the Internet of Things, the IT Security function must be improved besides the audit committee must play a role in carrying out the oversight and control functions. </w:t>
      </w:r>
      <w:r w:rsidR="00FC41C2" w:rsidRPr="00067267">
        <w:rPr>
          <w:lang w:val="en-US"/>
        </w:rPr>
        <w:t xml:space="preserve">The results of this study support research conducted by </w:t>
      </w:r>
      <w:hyperlink w:anchor="_References_1" w:history="1">
        <w:r w:rsidR="00FC41C2" w:rsidRPr="00067267">
          <w:rPr>
            <w:rStyle w:val="Hyperlink"/>
            <w:u w:val="none"/>
            <w:lang w:val="en-US"/>
          </w:rPr>
          <w:t>Zahro et al (2018)</w:t>
        </w:r>
      </w:hyperlink>
      <w:r w:rsidR="00FC41C2" w:rsidRPr="00067267">
        <w:rPr>
          <w:lang w:val="en-US"/>
        </w:rPr>
        <w:t xml:space="preserve"> and </w:t>
      </w:r>
      <w:hyperlink w:anchor="_References_1" w:history="1">
        <w:r w:rsidR="00FC41C2" w:rsidRPr="00067267">
          <w:rPr>
            <w:rStyle w:val="Hyperlink"/>
            <w:u w:val="none"/>
            <w:lang w:val="en-US"/>
          </w:rPr>
          <w:fldChar w:fldCharType="begin" w:fldLock="1"/>
        </w:r>
        <w:r w:rsidR="00FC41C2" w:rsidRPr="00067267">
          <w:rPr>
            <w:rStyle w:val="Hyperlink"/>
            <w:u w:val="none"/>
            <w:lang w:val="en-US"/>
          </w:rPr>
          <w:instrText>ADDIN CSL_CITATION {"citationItems":[{"id":"ITEM-1","itemData":{"author":[{"dropping-particle":"","family":"Inayanti S","given":"N","non-dropping-particle":"","parse-names":false,"suffix":""},{"dropping-particle":"","family":"Sukirman","given":"","non-dropping-particle":"","parse-names":false,"suffix":""}],"container-title":"Accounting, Analysis Journal","id":"ITEM-1","issue":"3","issued":{"date-parts":[["2016"]]},"page":"155-162","title":"The effect of factors in Fraud Diamond perspective on fraudulent financial reporting","type":"article-journal","volume":"5"},"uris":["http://www.mendeley.com/documents/?uuid=bf4e203f-c636-41a5-b9a4-3fdf7f7adf89"]}],"mendeley":{"formattedCitation":"(Inayanti S &amp; Sukirman, 2016)","manualFormatting":"Inayanti  &amp; Sukirman, (2016)","plainTextFormattedCitation":"(Inayanti S &amp; Sukirman, 2016)","previouslyFormattedCitation":"(Inayanti S &amp; Sukirman, 2016)"},"properties":{"noteIndex":0},"schema":"https://github.com/citation-style-language/schema/raw/master/csl-citation.json"}</w:instrText>
        </w:r>
        <w:r w:rsidR="00FC41C2" w:rsidRPr="00067267">
          <w:rPr>
            <w:rStyle w:val="Hyperlink"/>
            <w:u w:val="none"/>
            <w:lang w:val="en-US"/>
          </w:rPr>
          <w:fldChar w:fldCharType="separate"/>
        </w:r>
        <w:r w:rsidR="00FC41C2" w:rsidRPr="00067267">
          <w:rPr>
            <w:rStyle w:val="Hyperlink"/>
            <w:noProof/>
            <w:u w:val="none"/>
            <w:lang w:val="en-US"/>
          </w:rPr>
          <w:t>Inayanti  &amp; Sukirman, (2016)</w:t>
        </w:r>
        <w:r w:rsidR="00FC41C2" w:rsidRPr="00067267">
          <w:rPr>
            <w:rStyle w:val="Hyperlink"/>
            <w:u w:val="none"/>
            <w:lang w:val="en-US"/>
          </w:rPr>
          <w:fldChar w:fldCharType="end"/>
        </w:r>
      </w:hyperlink>
      <w:r w:rsidR="00FC41C2" w:rsidRPr="00067267">
        <w:rPr>
          <w:lang w:val="en-US"/>
        </w:rPr>
        <w:t xml:space="preserve"> but contrary to </w:t>
      </w:r>
      <w:hyperlink w:anchor="_References_1" w:history="1">
        <w:r w:rsidR="00FC41C2" w:rsidRPr="00067267">
          <w:rPr>
            <w:rStyle w:val="Hyperlink"/>
            <w:u w:val="none"/>
            <w:lang w:val="en-US"/>
          </w:rPr>
          <w:fldChar w:fldCharType="begin" w:fldLock="1"/>
        </w:r>
        <w:r w:rsidR="00FC41C2" w:rsidRPr="00067267">
          <w:rPr>
            <w:rStyle w:val="Hyperlink"/>
            <w:u w:val="none"/>
            <w:lang w:val="en-US"/>
          </w:rPr>
          <w:instrText>ADDIN CSL_CITATION {"citationItems":[{"id":"ITEM-1","itemData":{"DOI":"10.17509/jrak.v3i3.6621","author":[{"dropping-particle":"","family":"Aprilia","given":"","non-dropping-particle":"","parse-names":false,"suffix":""},{"dropping-particle":"","family":"Sergius","given":"","non-dropping-particle":"","parse-names":false,"suffix":""}],"container-title":"Riset Akuntansi dan Keuangan","id":"ITEM-1","issue":"3","issued":{"date-parts":[["2015"]]},"page":"786-800","title":"The effectibeness of fraud triangle on detecting fraudulent financial statements : using Benesih model and the case of special companies","type":"article-journal","volume":"3"},"uris":["http://www.mendeley.com/documents/?uuid=e112a4e6-51dd-4d4c-91cc-28dce176fa96"]}],"mendeley":{"formattedCitation":"(Aprilia &amp; Sergius, 2015)","manualFormatting":"Aprilia &amp; Sergius, (2015)","plainTextFormattedCitation":"(Aprilia &amp; Sergius, 2015)","previouslyFormattedCitation":"(Aprilia &amp; Sergius, 2015)"},"properties":{"noteIndex":0},"schema":"https://github.com/citation-style-language/schema/raw/master/csl-citation.json"}</w:instrText>
        </w:r>
        <w:r w:rsidR="00FC41C2" w:rsidRPr="00067267">
          <w:rPr>
            <w:rStyle w:val="Hyperlink"/>
            <w:u w:val="none"/>
            <w:lang w:val="en-US"/>
          </w:rPr>
          <w:fldChar w:fldCharType="separate"/>
        </w:r>
        <w:r w:rsidR="00FC41C2" w:rsidRPr="00067267">
          <w:rPr>
            <w:rStyle w:val="Hyperlink"/>
            <w:noProof/>
            <w:u w:val="none"/>
            <w:lang w:val="en-US"/>
          </w:rPr>
          <w:t>Aprilia &amp; Sergius, (2015)</w:t>
        </w:r>
        <w:r w:rsidR="00FC41C2" w:rsidRPr="00067267">
          <w:rPr>
            <w:rStyle w:val="Hyperlink"/>
            <w:u w:val="none"/>
            <w:lang w:val="en-US"/>
          </w:rPr>
          <w:fldChar w:fldCharType="end"/>
        </w:r>
      </w:hyperlink>
      <w:r w:rsidR="00FC41C2" w:rsidRPr="00067267">
        <w:rPr>
          <w:lang w:val="en-US"/>
        </w:rPr>
        <w:t>.</w:t>
      </w:r>
    </w:p>
    <w:p w:rsidR="003E3538" w:rsidRPr="00067267" w:rsidRDefault="00FC41C2" w:rsidP="00FC41C2">
      <w:pPr>
        <w:spacing w:after="0"/>
        <w:ind w:firstLine="720"/>
        <w:jc w:val="both"/>
        <w:rPr>
          <w:lang w:val="en-US"/>
        </w:rPr>
      </w:pPr>
      <w:r w:rsidRPr="00067267">
        <w:rPr>
          <w:lang w:val="en-US"/>
        </w:rPr>
        <w:t xml:space="preserve">Hypothesis 5 show that the accruals have a positive significant effect on fraudulent financial reporting. The accruals variable has Wald value of 12.968 &gt; 1.96 and sig. value of 0,000 &lt;0.05, thus hypothesis 5 is accepted. Accrual itself is one of the benchmarks for fraud in financial statements </w:t>
      </w:r>
      <w:r w:rsidRPr="00067267">
        <w:rPr>
          <w:lang w:val="en-US"/>
        </w:rPr>
        <w:fldChar w:fldCharType="begin" w:fldLock="1"/>
      </w:r>
      <w:r w:rsidRPr="00067267">
        <w:rPr>
          <w:lang w:val="en-US"/>
        </w:rPr>
        <w:instrText>ADDIN CSL_CITATION {"citationItems":[{"id":"ITEM-1","itemData":{"DOI":"10.1016/S0278-4254(97)00023-9","ISSN":"02784254","abstract":"My paper presents a model to detect earnings management among firms experiencing extreme financial performance, and compares the model's performance to that of discretionary accrual models. I found that the model provides timely assessments of the likelihood of manipulation, and that model-based trading strategies earn significant abnormal returns. I also present evidence suggesting that the specification of discretionary accrual models could be enhanced by adding lagged total accruals and a measure of past price performance as explanators. The evidence arises from studying actual instances of earnings management. Its implications are in line with the Guay et al. (1996, p. 104) conjecture that accrual models which take into account managers' incentives, and recognize that discretionary accruals reverse, have a better chance of identifying discretionary accruals. The results have implications for researchers investigating managers' accrual decisions in contexts such as security offerings and financial distress, where extreme performance limits the usefulness of accrual models. © 1997 Elsevier Science Inc.","author":[{"dropping-particle":"","family":"Beneish","given":"Messod D.","non-dropping-particle":"","parse-names":false,"suffix":""}],"container-title":"Journal of Accounting and Public Policy","id":"ITEM-1","issued":{"date-parts":[["1997"]]},"title":"Detecting GAAP violation: Implications for assessing earnings management among firms with extreme financial performance","type":"article-journal"},"uris":["http://www.mendeley.com/documents/?uuid=ce0d2a11-69d0-4277-9ea5-614aa08464c3"]}],"mendeley":{"formattedCitation":"(M. D. Beneish, 1997)","manualFormatting":"(Beneish, 1997)","plainTextFormattedCitation":"(M. D. Beneish, 1997)","previouslyFormattedCitation":"(M. D. Beneish, 1997)"},"properties":{"noteIndex":0},"schema":"https://github.com/citation-style-language/schema/raw/master/csl-citation.json"}</w:instrText>
      </w:r>
      <w:r w:rsidRPr="00067267">
        <w:rPr>
          <w:lang w:val="en-US"/>
        </w:rPr>
        <w:fldChar w:fldCharType="separate"/>
      </w:r>
      <w:r w:rsidRPr="00067267">
        <w:rPr>
          <w:noProof/>
          <w:lang w:val="en-US"/>
        </w:rPr>
        <w:t>(</w:t>
      </w:r>
      <w:hyperlink w:anchor="_References_1" w:history="1">
        <w:r w:rsidRPr="00067267">
          <w:rPr>
            <w:rStyle w:val="Hyperlink"/>
            <w:noProof/>
            <w:u w:val="none"/>
            <w:lang w:val="en-US"/>
          </w:rPr>
          <w:t>Beneish, 1997</w:t>
        </w:r>
      </w:hyperlink>
      <w:r w:rsidRPr="00067267">
        <w:rPr>
          <w:noProof/>
          <w:lang w:val="en-US"/>
        </w:rPr>
        <w:t>)</w:t>
      </w:r>
      <w:r w:rsidRPr="00067267">
        <w:rPr>
          <w:lang w:val="en-US"/>
        </w:rPr>
        <w:fldChar w:fldCharType="end"/>
      </w:r>
      <w:r w:rsidRPr="00067267">
        <w:rPr>
          <w:lang w:val="en-US"/>
        </w:rPr>
        <w:t xml:space="preserve">. These results override Fraud Triangle theory which states rationality can only lead to fraud if there are elements of pressure and opportunity. </w:t>
      </w:r>
      <w:r w:rsidR="003B6666" w:rsidRPr="00067267">
        <w:rPr>
          <w:lang w:val="en-US"/>
        </w:rPr>
        <w:t xml:space="preserve">From the perspective of agency theory, it can be explained </w:t>
      </w:r>
      <w:r w:rsidR="003E3538" w:rsidRPr="00067267">
        <w:rPr>
          <w:lang w:val="en-US"/>
        </w:rPr>
        <w:t xml:space="preserve">that basically humans have limited rationality or bounded rationality. The concept of limited rationality can be defined as a situation in which decision makers do not have the </w:t>
      </w:r>
    </w:p>
    <w:tbl>
      <w:tblPr>
        <w:tblStyle w:val="TableGrid"/>
        <w:tblpPr w:leftFromText="187" w:rightFromText="187" w:vertAnchor="page" w:horzAnchor="margin" w:tblpY="2489"/>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1144"/>
        <w:gridCol w:w="1053"/>
        <w:gridCol w:w="1025"/>
        <w:gridCol w:w="633"/>
        <w:gridCol w:w="806"/>
        <w:gridCol w:w="1159"/>
      </w:tblGrid>
      <w:tr w:rsidR="003E3538" w:rsidRPr="00067267" w:rsidTr="003E3538">
        <w:tc>
          <w:tcPr>
            <w:tcW w:w="5000" w:type="pct"/>
            <w:gridSpan w:val="7"/>
            <w:tcBorders>
              <w:bottom w:val="single" w:sz="4" w:space="0" w:color="auto"/>
            </w:tcBorders>
          </w:tcPr>
          <w:p w:rsidR="003E3538" w:rsidRPr="00067267" w:rsidRDefault="003E3538" w:rsidP="003E3538">
            <w:pPr>
              <w:pStyle w:val="Heading1"/>
              <w:rPr>
                <w:szCs w:val="22"/>
                <w:lang w:val="en-US"/>
              </w:rPr>
            </w:pPr>
            <w:bookmarkStart w:id="3" w:name="_Table_6._"/>
            <w:bookmarkEnd w:id="3"/>
            <w:r w:rsidRPr="00067267">
              <w:rPr>
                <w:szCs w:val="22"/>
                <w:lang w:val="en-US"/>
              </w:rPr>
              <w:lastRenderedPageBreak/>
              <w:t>Table 6.  Logistic Regression Test</w:t>
            </w:r>
          </w:p>
        </w:tc>
      </w:tr>
      <w:tr w:rsidR="003E3538" w:rsidRPr="00067267" w:rsidTr="003E3538">
        <w:tc>
          <w:tcPr>
            <w:tcW w:w="1333"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p>
        </w:tc>
        <w:tc>
          <w:tcPr>
            <w:tcW w:w="721"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r w:rsidRPr="00067267">
              <w:rPr>
                <w:lang w:val="en-US"/>
              </w:rPr>
              <w:t>B</w:t>
            </w:r>
          </w:p>
        </w:tc>
        <w:tc>
          <w:tcPr>
            <w:tcW w:w="663"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r w:rsidRPr="00067267">
              <w:rPr>
                <w:lang w:val="en-US"/>
              </w:rPr>
              <w:t>S.E.</w:t>
            </w:r>
          </w:p>
        </w:tc>
        <w:tc>
          <w:tcPr>
            <w:tcW w:w="646"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r w:rsidRPr="00067267">
              <w:rPr>
                <w:lang w:val="en-US"/>
              </w:rPr>
              <w:t>Wald</w:t>
            </w:r>
          </w:p>
        </w:tc>
        <w:tc>
          <w:tcPr>
            <w:tcW w:w="399"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r w:rsidRPr="00067267">
              <w:rPr>
                <w:lang w:val="en-US"/>
              </w:rPr>
              <w:t>df</w:t>
            </w:r>
          </w:p>
        </w:tc>
        <w:tc>
          <w:tcPr>
            <w:tcW w:w="508"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r w:rsidRPr="00067267">
              <w:rPr>
                <w:lang w:val="en-US"/>
              </w:rPr>
              <w:t>Sig.</w:t>
            </w:r>
          </w:p>
        </w:tc>
        <w:tc>
          <w:tcPr>
            <w:tcW w:w="730" w:type="pct"/>
            <w:tcBorders>
              <w:top w:val="single" w:sz="4" w:space="0" w:color="auto"/>
              <w:bottom w:val="single" w:sz="4" w:space="0" w:color="auto"/>
            </w:tcBorders>
          </w:tcPr>
          <w:p w:rsidR="003E3538" w:rsidRPr="00067267" w:rsidRDefault="003E3538" w:rsidP="003E3538">
            <w:pPr>
              <w:spacing w:after="0" w:line="240" w:lineRule="auto"/>
              <w:jc w:val="both"/>
              <w:rPr>
                <w:lang w:val="en-US"/>
              </w:rPr>
            </w:pPr>
            <w:r w:rsidRPr="00067267">
              <w:rPr>
                <w:lang w:val="en-US"/>
              </w:rPr>
              <w:t>Exp(B)</w:t>
            </w:r>
          </w:p>
        </w:tc>
      </w:tr>
      <w:tr w:rsidR="003E3538" w:rsidRPr="00067267" w:rsidTr="003E3538">
        <w:tc>
          <w:tcPr>
            <w:tcW w:w="5000" w:type="pct"/>
            <w:gridSpan w:val="7"/>
            <w:tcBorders>
              <w:top w:val="single" w:sz="4" w:space="0" w:color="auto"/>
            </w:tcBorders>
          </w:tcPr>
          <w:p w:rsidR="003E3538" w:rsidRPr="00067267" w:rsidRDefault="003E3538" w:rsidP="003E3538">
            <w:pPr>
              <w:spacing w:after="0" w:line="240" w:lineRule="auto"/>
              <w:rPr>
                <w:lang w:val="en-US"/>
              </w:rPr>
            </w:pPr>
            <w:r w:rsidRPr="00067267">
              <w:rPr>
                <w:lang w:val="en-US"/>
              </w:rPr>
              <w:t>Model 1</w:t>
            </w:r>
          </w:p>
        </w:tc>
      </w:tr>
      <w:tr w:rsidR="003E3538" w:rsidRPr="00067267" w:rsidTr="003E3538">
        <w:tc>
          <w:tcPr>
            <w:tcW w:w="1333" w:type="pct"/>
            <w:tcBorders>
              <w:top w:val="single" w:sz="4" w:space="0" w:color="auto"/>
            </w:tcBorders>
          </w:tcPr>
          <w:p w:rsidR="003E3538" w:rsidRPr="00067267" w:rsidRDefault="003E3538" w:rsidP="003E3538">
            <w:pPr>
              <w:spacing w:after="0" w:line="240" w:lineRule="auto"/>
              <w:jc w:val="both"/>
              <w:rPr>
                <w:lang w:val="en-US"/>
              </w:rPr>
            </w:pPr>
            <w:r w:rsidRPr="00067267">
              <w:rPr>
                <w:lang w:val="en-US"/>
              </w:rPr>
              <w:t>Fin.Stability</w:t>
            </w:r>
          </w:p>
        </w:tc>
        <w:tc>
          <w:tcPr>
            <w:tcW w:w="721" w:type="pct"/>
            <w:tcBorders>
              <w:top w:val="single" w:sz="4" w:space="0" w:color="auto"/>
            </w:tcBorders>
          </w:tcPr>
          <w:p w:rsidR="003E3538" w:rsidRPr="00067267" w:rsidRDefault="003E3538" w:rsidP="003E3538">
            <w:pPr>
              <w:spacing w:after="0" w:line="240" w:lineRule="auto"/>
              <w:jc w:val="right"/>
              <w:rPr>
                <w:lang w:val="en-US"/>
              </w:rPr>
            </w:pPr>
            <w:r w:rsidRPr="00067267">
              <w:rPr>
                <w:lang w:val="en-US"/>
              </w:rPr>
              <w:t>3.710</w:t>
            </w:r>
          </w:p>
        </w:tc>
        <w:tc>
          <w:tcPr>
            <w:tcW w:w="663" w:type="pct"/>
            <w:tcBorders>
              <w:top w:val="single" w:sz="4" w:space="0" w:color="auto"/>
            </w:tcBorders>
          </w:tcPr>
          <w:p w:rsidR="003E3538" w:rsidRPr="00067267" w:rsidRDefault="003E3538" w:rsidP="003E3538">
            <w:pPr>
              <w:spacing w:after="0" w:line="240" w:lineRule="auto"/>
              <w:jc w:val="right"/>
              <w:rPr>
                <w:lang w:val="en-US"/>
              </w:rPr>
            </w:pPr>
            <w:r w:rsidRPr="00067267">
              <w:rPr>
                <w:lang w:val="en-US"/>
              </w:rPr>
              <w:t>3.065</w:t>
            </w:r>
          </w:p>
        </w:tc>
        <w:tc>
          <w:tcPr>
            <w:tcW w:w="646" w:type="pct"/>
            <w:tcBorders>
              <w:top w:val="single" w:sz="4" w:space="0" w:color="auto"/>
            </w:tcBorders>
          </w:tcPr>
          <w:p w:rsidR="003E3538" w:rsidRPr="00067267" w:rsidRDefault="003E3538" w:rsidP="003E3538">
            <w:pPr>
              <w:spacing w:after="0" w:line="240" w:lineRule="auto"/>
              <w:jc w:val="right"/>
              <w:rPr>
                <w:lang w:val="en-US"/>
              </w:rPr>
            </w:pPr>
            <w:r w:rsidRPr="00067267">
              <w:rPr>
                <w:lang w:val="en-US"/>
              </w:rPr>
              <w:t>1.529</w:t>
            </w:r>
          </w:p>
        </w:tc>
        <w:tc>
          <w:tcPr>
            <w:tcW w:w="399" w:type="pct"/>
            <w:tcBorders>
              <w:top w:val="single" w:sz="4" w:space="0" w:color="auto"/>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single" w:sz="4" w:space="0" w:color="auto"/>
            </w:tcBorders>
          </w:tcPr>
          <w:p w:rsidR="003E3538" w:rsidRPr="00067267" w:rsidRDefault="003E3538" w:rsidP="003E3538">
            <w:pPr>
              <w:spacing w:after="0" w:line="240" w:lineRule="auto"/>
              <w:jc w:val="right"/>
              <w:rPr>
                <w:lang w:val="en-US"/>
              </w:rPr>
            </w:pPr>
            <w:r w:rsidRPr="00067267">
              <w:rPr>
                <w:lang w:val="en-US"/>
              </w:rPr>
              <w:t>0.317</w:t>
            </w:r>
          </w:p>
        </w:tc>
        <w:tc>
          <w:tcPr>
            <w:tcW w:w="730" w:type="pct"/>
            <w:tcBorders>
              <w:top w:val="single" w:sz="4" w:space="0" w:color="auto"/>
            </w:tcBorders>
          </w:tcPr>
          <w:p w:rsidR="003E3538" w:rsidRPr="00067267" w:rsidRDefault="003E3538" w:rsidP="003E3538">
            <w:pPr>
              <w:spacing w:after="0" w:line="240" w:lineRule="auto"/>
              <w:jc w:val="right"/>
              <w:rPr>
                <w:lang w:val="en-US"/>
              </w:rPr>
            </w:pPr>
            <w:r w:rsidRPr="00067267">
              <w:rPr>
                <w:lang w:val="en-US"/>
              </w:rPr>
              <w:t>43.077</w:t>
            </w:r>
          </w:p>
        </w:tc>
      </w:tr>
      <w:tr w:rsidR="003E3538" w:rsidRPr="00067267" w:rsidTr="003E3538">
        <w:tc>
          <w:tcPr>
            <w:tcW w:w="1333" w:type="pct"/>
          </w:tcPr>
          <w:p w:rsidR="003E3538" w:rsidRPr="00067267" w:rsidRDefault="003E3538" w:rsidP="003E3538">
            <w:pPr>
              <w:spacing w:after="0" w:line="240" w:lineRule="auto"/>
              <w:jc w:val="both"/>
              <w:rPr>
                <w:lang w:val="en-US"/>
              </w:rPr>
            </w:pPr>
            <w:r w:rsidRPr="00067267">
              <w:rPr>
                <w:lang w:val="en-US"/>
              </w:rPr>
              <w:t>Ext.Pressure</w:t>
            </w:r>
          </w:p>
        </w:tc>
        <w:tc>
          <w:tcPr>
            <w:tcW w:w="721" w:type="pct"/>
          </w:tcPr>
          <w:p w:rsidR="003E3538" w:rsidRPr="00067267" w:rsidRDefault="003E3538" w:rsidP="003E3538">
            <w:pPr>
              <w:spacing w:after="0" w:line="240" w:lineRule="auto"/>
              <w:jc w:val="right"/>
              <w:rPr>
                <w:lang w:val="en-US"/>
              </w:rPr>
            </w:pPr>
            <w:r w:rsidRPr="00067267">
              <w:rPr>
                <w:lang w:val="en-US"/>
              </w:rPr>
              <w:t>1.351</w:t>
            </w:r>
          </w:p>
        </w:tc>
        <w:tc>
          <w:tcPr>
            <w:tcW w:w="663" w:type="pct"/>
          </w:tcPr>
          <w:p w:rsidR="003E3538" w:rsidRPr="00067267" w:rsidRDefault="003E3538" w:rsidP="003E3538">
            <w:pPr>
              <w:spacing w:after="0" w:line="240" w:lineRule="auto"/>
              <w:jc w:val="right"/>
              <w:rPr>
                <w:lang w:val="en-US"/>
              </w:rPr>
            </w:pPr>
            <w:r w:rsidRPr="00067267">
              <w:rPr>
                <w:lang w:val="en-US"/>
              </w:rPr>
              <w:t>1.701</w:t>
            </w:r>
          </w:p>
        </w:tc>
        <w:tc>
          <w:tcPr>
            <w:tcW w:w="646" w:type="pct"/>
          </w:tcPr>
          <w:p w:rsidR="003E3538" w:rsidRPr="00067267" w:rsidRDefault="003E3538" w:rsidP="003E3538">
            <w:pPr>
              <w:spacing w:after="0" w:line="240" w:lineRule="auto"/>
              <w:jc w:val="right"/>
              <w:rPr>
                <w:lang w:val="en-US"/>
              </w:rPr>
            </w:pPr>
            <w:r w:rsidRPr="00067267">
              <w:rPr>
                <w:lang w:val="en-US"/>
              </w:rPr>
              <w:t>0.543</w:t>
            </w:r>
          </w:p>
        </w:tc>
        <w:tc>
          <w:tcPr>
            <w:tcW w:w="399" w:type="pct"/>
          </w:tcPr>
          <w:p w:rsidR="003E3538" w:rsidRPr="00067267" w:rsidRDefault="003E3538" w:rsidP="003E3538">
            <w:pPr>
              <w:spacing w:after="0" w:line="240" w:lineRule="auto"/>
              <w:jc w:val="right"/>
              <w:rPr>
                <w:lang w:val="en-US"/>
              </w:rPr>
            </w:pPr>
            <w:r w:rsidRPr="00067267">
              <w:rPr>
                <w:lang w:val="en-US"/>
              </w:rPr>
              <w:t>1</w:t>
            </w:r>
          </w:p>
        </w:tc>
        <w:tc>
          <w:tcPr>
            <w:tcW w:w="508" w:type="pct"/>
          </w:tcPr>
          <w:p w:rsidR="003E3538" w:rsidRPr="00067267" w:rsidRDefault="003E3538" w:rsidP="003E3538">
            <w:pPr>
              <w:spacing w:after="0" w:line="240" w:lineRule="auto"/>
              <w:jc w:val="right"/>
              <w:rPr>
                <w:lang w:val="en-US"/>
              </w:rPr>
            </w:pPr>
            <w:r w:rsidRPr="00067267">
              <w:rPr>
                <w:lang w:val="en-US"/>
              </w:rPr>
              <w:t>0.560</w:t>
            </w:r>
          </w:p>
        </w:tc>
        <w:tc>
          <w:tcPr>
            <w:tcW w:w="730" w:type="pct"/>
          </w:tcPr>
          <w:p w:rsidR="003E3538" w:rsidRPr="00067267" w:rsidRDefault="003E3538" w:rsidP="003E3538">
            <w:pPr>
              <w:spacing w:after="0" w:line="240" w:lineRule="auto"/>
              <w:jc w:val="right"/>
              <w:rPr>
                <w:lang w:val="en-US"/>
              </w:rPr>
            </w:pPr>
            <w:r w:rsidRPr="00067267">
              <w:rPr>
                <w:lang w:val="en-US"/>
              </w:rPr>
              <w:t>3.548</w:t>
            </w:r>
          </w:p>
        </w:tc>
      </w:tr>
      <w:tr w:rsidR="003E3538" w:rsidRPr="00067267" w:rsidTr="003E3538">
        <w:tc>
          <w:tcPr>
            <w:tcW w:w="1333" w:type="pct"/>
          </w:tcPr>
          <w:p w:rsidR="003E3538" w:rsidRPr="00067267" w:rsidRDefault="003E3538" w:rsidP="003E3538">
            <w:pPr>
              <w:spacing w:after="0" w:line="240" w:lineRule="auto"/>
              <w:jc w:val="both"/>
              <w:rPr>
                <w:lang w:val="en-US"/>
              </w:rPr>
            </w:pPr>
            <w:r w:rsidRPr="00067267">
              <w:rPr>
                <w:lang w:val="en-US"/>
              </w:rPr>
              <w:t>Fin.Target</w:t>
            </w:r>
          </w:p>
        </w:tc>
        <w:tc>
          <w:tcPr>
            <w:tcW w:w="721" w:type="pct"/>
          </w:tcPr>
          <w:p w:rsidR="003E3538" w:rsidRPr="00067267" w:rsidRDefault="003E3538" w:rsidP="003E3538">
            <w:pPr>
              <w:spacing w:after="0" w:line="240" w:lineRule="auto"/>
              <w:jc w:val="right"/>
              <w:rPr>
                <w:lang w:val="en-US"/>
              </w:rPr>
            </w:pPr>
            <w:r w:rsidRPr="00067267">
              <w:rPr>
                <w:lang w:val="en-US"/>
              </w:rPr>
              <w:t>-1.959</w:t>
            </w:r>
          </w:p>
        </w:tc>
        <w:tc>
          <w:tcPr>
            <w:tcW w:w="663" w:type="pct"/>
          </w:tcPr>
          <w:p w:rsidR="003E3538" w:rsidRPr="00067267" w:rsidRDefault="003E3538" w:rsidP="003E3538">
            <w:pPr>
              <w:spacing w:after="0" w:line="240" w:lineRule="auto"/>
              <w:jc w:val="right"/>
              <w:rPr>
                <w:lang w:val="en-US"/>
              </w:rPr>
            </w:pPr>
            <w:r w:rsidRPr="00067267">
              <w:rPr>
                <w:lang w:val="en-US"/>
              </w:rPr>
              <w:t>3.611</w:t>
            </w:r>
          </w:p>
        </w:tc>
        <w:tc>
          <w:tcPr>
            <w:tcW w:w="646" w:type="pct"/>
          </w:tcPr>
          <w:p w:rsidR="003E3538" w:rsidRPr="00067267" w:rsidRDefault="003E3538" w:rsidP="003E3538">
            <w:pPr>
              <w:spacing w:after="0" w:line="240" w:lineRule="auto"/>
              <w:jc w:val="right"/>
              <w:rPr>
                <w:lang w:val="en-US"/>
              </w:rPr>
            </w:pPr>
            <w:r w:rsidRPr="00067267">
              <w:rPr>
                <w:lang w:val="en-US"/>
              </w:rPr>
              <w:t>0.302</w:t>
            </w:r>
          </w:p>
        </w:tc>
        <w:tc>
          <w:tcPr>
            <w:tcW w:w="399" w:type="pct"/>
          </w:tcPr>
          <w:p w:rsidR="003E3538" w:rsidRPr="00067267" w:rsidRDefault="003E3538" w:rsidP="003E3538">
            <w:pPr>
              <w:spacing w:after="0" w:line="240" w:lineRule="auto"/>
              <w:jc w:val="right"/>
              <w:rPr>
                <w:lang w:val="en-US"/>
              </w:rPr>
            </w:pPr>
            <w:r w:rsidRPr="00067267">
              <w:rPr>
                <w:lang w:val="en-US"/>
              </w:rPr>
              <w:t>1</w:t>
            </w:r>
          </w:p>
        </w:tc>
        <w:tc>
          <w:tcPr>
            <w:tcW w:w="508" w:type="pct"/>
          </w:tcPr>
          <w:p w:rsidR="003E3538" w:rsidRPr="00067267" w:rsidRDefault="003E3538" w:rsidP="003E3538">
            <w:pPr>
              <w:spacing w:after="0" w:line="240" w:lineRule="auto"/>
              <w:jc w:val="right"/>
              <w:rPr>
                <w:lang w:val="en-US"/>
              </w:rPr>
            </w:pPr>
            <w:r w:rsidRPr="00067267">
              <w:rPr>
                <w:lang w:val="en-US"/>
              </w:rPr>
              <w:t>0.683</w:t>
            </w:r>
          </w:p>
        </w:tc>
        <w:tc>
          <w:tcPr>
            <w:tcW w:w="730" w:type="pct"/>
          </w:tcPr>
          <w:p w:rsidR="003E3538" w:rsidRPr="00067267" w:rsidRDefault="003E3538" w:rsidP="003E3538">
            <w:pPr>
              <w:spacing w:after="0" w:line="240" w:lineRule="auto"/>
              <w:jc w:val="right"/>
              <w:rPr>
                <w:lang w:val="en-US"/>
              </w:rPr>
            </w:pPr>
            <w:r w:rsidRPr="00067267">
              <w:rPr>
                <w:lang w:val="en-US"/>
              </w:rPr>
              <w:t>0.137</w:t>
            </w:r>
          </w:p>
        </w:tc>
      </w:tr>
      <w:tr w:rsidR="003E3538" w:rsidRPr="00067267" w:rsidTr="003E3538">
        <w:tc>
          <w:tcPr>
            <w:tcW w:w="1333" w:type="pct"/>
          </w:tcPr>
          <w:p w:rsidR="003E3538" w:rsidRPr="00067267" w:rsidRDefault="003E3538" w:rsidP="003E3538">
            <w:pPr>
              <w:spacing w:after="0" w:line="240" w:lineRule="auto"/>
              <w:jc w:val="both"/>
              <w:rPr>
                <w:lang w:val="en-US"/>
              </w:rPr>
            </w:pPr>
            <w:r w:rsidRPr="00067267">
              <w:rPr>
                <w:lang w:val="en-US"/>
              </w:rPr>
              <w:t>Effective Monitoring</w:t>
            </w:r>
          </w:p>
        </w:tc>
        <w:tc>
          <w:tcPr>
            <w:tcW w:w="721" w:type="pct"/>
          </w:tcPr>
          <w:p w:rsidR="003E3538" w:rsidRPr="00067267" w:rsidRDefault="003E3538" w:rsidP="003E3538">
            <w:pPr>
              <w:spacing w:after="0" w:line="240" w:lineRule="auto"/>
              <w:jc w:val="right"/>
              <w:rPr>
                <w:lang w:val="en-US"/>
              </w:rPr>
            </w:pPr>
            <w:r w:rsidRPr="00067267">
              <w:rPr>
                <w:lang w:val="en-US"/>
              </w:rPr>
              <w:t>-25.176</w:t>
            </w:r>
          </w:p>
        </w:tc>
        <w:tc>
          <w:tcPr>
            <w:tcW w:w="663" w:type="pct"/>
          </w:tcPr>
          <w:p w:rsidR="003E3538" w:rsidRPr="00067267" w:rsidRDefault="003E3538" w:rsidP="003E3538">
            <w:pPr>
              <w:spacing w:after="0" w:line="240" w:lineRule="auto"/>
              <w:jc w:val="right"/>
              <w:rPr>
                <w:lang w:val="en-US"/>
              </w:rPr>
            </w:pPr>
            <w:r w:rsidRPr="00067267">
              <w:rPr>
                <w:lang w:val="en-US"/>
              </w:rPr>
              <w:t>4.315</w:t>
            </w:r>
          </w:p>
        </w:tc>
        <w:tc>
          <w:tcPr>
            <w:tcW w:w="646" w:type="pct"/>
          </w:tcPr>
          <w:p w:rsidR="003E3538" w:rsidRPr="00067267" w:rsidRDefault="003E3538" w:rsidP="003E3538">
            <w:pPr>
              <w:spacing w:after="0" w:line="240" w:lineRule="auto"/>
              <w:jc w:val="right"/>
              <w:rPr>
                <w:lang w:val="en-US"/>
              </w:rPr>
            </w:pPr>
            <w:r w:rsidRPr="00067267">
              <w:rPr>
                <w:lang w:val="en-US"/>
              </w:rPr>
              <w:t>11.917</w:t>
            </w:r>
          </w:p>
        </w:tc>
        <w:tc>
          <w:tcPr>
            <w:tcW w:w="399" w:type="pct"/>
          </w:tcPr>
          <w:p w:rsidR="003E3538" w:rsidRPr="00067267" w:rsidRDefault="003E3538" w:rsidP="003E3538">
            <w:pPr>
              <w:spacing w:after="0" w:line="240" w:lineRule="auto"/>
              <w:jc w:val="right"/>
              <w:rPr>
                <w:lang w:val="en-US"/>
              </w:rPr>
            </w:pPr>
            <w:r w:rsidRPr="00067267">
              <w:rPr>
                <w:lang w:val="en-US"/>
              </w:rPr>
              <w:t>1</w:t>
            </w:r>
          </w:p>
        </w:tc>
        <w:tc>
          <w:tcPr>
            <w:tcW w:w="508" w:type="pct"/>
          </w:tcPr>
          <w:p w:rsidR="003E3538" w:rsidRPr="00067267" w:rsidRDefault="003E3538" w:rsidP="003E3538">
            <w:pPr>
              <w:spacing w:after="0" w:line="240" w:lineRule="auto"/>
              <w:jc w:val="right"/>
              <w:rPr>
                <w:lang w:val="en-US"/>
              </w:rPr>
            </w:pPr>
            <w:r w:rsidRPr="00067267">
              <w:rPr>
                <w:lang w:val="en-US"/>
              </w:rPr>
              <w:t>0.000</w:t>
            </w:r>
          </w:p>
        </w:tc>
        <w:tc>
          <w:tcPr>
            <w:tcW w:w="730" w:type="pct"/>
          </w:tcPr>
          <w:p w:rsidR="003E3538" w:rsidRPr="00067267" w:rsidRDefault="003E3538" w:rsidP="003E3538">
            <w:pPr>
              <w:spacing w:after="0" w:line="240" w:lineRule="auto"/>
              <w:jc w:val="right"/>
              <w:rPr>
                <w:lang w:val="en-US"/>
              </w:rPr>
            </w:pPr>
            <w:r w:rsidRPr="00067267">
              <w:rPr>
                <w:lang w:val="en-US"/>
              </w:rPr>
              <w:t>145.015</w:t>
            </w:r>
          </w:p>
        </w:tc>
      </w:tr>
      <w:tr w:rsidR="003E3538" w:rsidRPr="00067267" w:rsidTr="003E3538">
        <w:tc>
          <w:tcPr>
            <w:tcW w:w="1333" w:type="pct"/>
          </w:tcPr>
          <w:p w:rsidR="003E3538" w:rsidRPr="00067267" w:rsidRDefault="003E3538" w:rsidP="003E3538">
            <w:pPr>
              <w:spacing w:after="0" w:line="240" w:lineRule="auto"/>
              <w:jc w:val="both"/>
              <w:rPr>
                <w:lang w:val="en-US"/>
              </w:rPr>
            </w:pPr>
            <w:r w:rsidRPr="00067267">
              <w:rPr>
                <w:lang w:val="en-US"/>
              </w:rPr>
              <w:t>Accruals</w:t>
            </w:r>
          </w:p>
        </w:tc>
        <w:tc>
          <w:tcPr>
            <w:tcW w:w="721" w:type="pct"/>
          </w:tcPr>
          <w:p w:rsidR="003E3538" w:rsidRPr="00067267" w:rsidRDefault="003E3538" w:rsidP="003E3538">
            <w:pPr>
              <w:spacing w:after="0" w:line="240" w:lineRule="auto"/>
              <w:jc w:val="right"/>
              <w:rPr>
                <w:lang w:val="en-US"/>
              </w:rPr>
            </w:pPr>
            <w:r w:rsidRPr="00067267">
              <w:rPr>
                <w:lang w:val="en-US"/>
              </w:rPr>
              <w:t>31.876</w:t>
            </w:r>
          </w:p>
        </w:tc>
        <w:tc>
          <w:tcPr>
            <w:tcW w:w="663" w:type="pct"/>
          </w:tcPr>
          <w:p w:rsidR="003E3538" w:rsidRPr="00067267" w:rsidRDefault="003E3538" w:rsidP="003E3538">
            <w:pPr>
              <w:spacing w:after="0" w:line="240" w:lineRule="auto"/>
              <w:jc w:val="right"/>
              <w:rPr>
                <w:lang w:val="en-US"/>
              </w:rPr>
            </w:pPr>
            <w:r w:rsidRPr="00067267">
              <w:rPr>
                <w:lang w:val="en-US"/>
              </w:rPr>
              <w:t>8.535</w:t>
            </w:r>
          </w:p>
        </w:tc>
        <w:tc>
          <w:tcPr>
            <w:tcW w:w="646" w:type="pct"/>
          </w:tcPr>
          <w:p w:rsidR="003E3538" w:rsidRPr="00067267" w:rsidRDefault="003E3538" w:rsidP="003E3538">
            <w:pPr>
              <w:spacing w:after="0" w:line="240" w:lineRule="auto"/>
              <w:jc w:val="right"/>
              <w:rPr>
                <w:lang w:val="en-US"/>
              </w:rPr>
            </w:pPr>
            <w:r w:rsidRPr="00067267">
              <w:rPr>
                <w:lang w:val="en-US"/>
              </w:rPr>
              <w:t>12.968</w:t>
            </w:r>
          </w:p>
        </w:tc>
        <w:tc>
          <w:tcPr>
            <w:tcW w:w="399" w:type="pct"/>
          </w:tcPr>
          <w:p w:rsidR="003E3538" w:rsidRPr="00067267" w:rsidRDefault="003E3538" w:rsidP="003E3538">
            <w:pPr>
              <w:spacing w:after="0" w:line="240" w:lineRule="auto"/>
              <w:jc w:val="right"/>
              <w:rPr>
                <w:lang w:val="en-US"/>
              </w:rPr>
            </w:pPr>
            <w:r w:rsidRPr="00067267">
              <w:rPr>
                <w:lang w:val="en-US"/>
              </w:rPr>
              <w:t>1</w:t>
            </w:r>
          </w:p>
        </w:tc>
        <w:tc>
          <w:tcPr>
            <w:tcW w:w="508" w:type="pct"/>
          </w:tcPr>
          <w:p w:rsidR="003E3538" w:rsidRPr="00067267" w:rsidRDefault="003E3538" w:rsidP="003E3538">
            <w:pPr>
              <w:spacing w:after="0" w:line="240" w:lineRule="auto"/>
              <w:jc w:val="right"/>
              <w:rPr>
                <w:lang w:val="en-US"/>
              </w:rPr>
            </w:pPr>
            <w:r w:rsidRPr="00067267">
              <w:rPr>
                <w:lang w:val="en-US"/>
              </w:rPr>
              <w:t>0.000</w:t>
            </w:r>
          </w:p>
        </w:tc>
        <w:tc>
          <w:tcPr>
            <w:tcW w:w="730" w:type="pct"/>
          </w:tcPr>
          <w:p w:rsidR="003E3538" w:rsidRPr="00067267" w:rsidRDefault="003E3538" w:rsidP="003E3538">
            <w:pPr>
              <w:spacing w:after="0" w:line="240" w:lineRule="auto"/>
              <w:jc w:val="right"/>
              <w:rPr>
                <w:lang w:val="en-US"/>
              </w:rPr>
            </w:pPr>
            <w:r w:rsidRPr="00067267">
              <w:rPr>
                <w:lang w:val="en-US"/>
              </w:rPr>
              <w:t>7036E+13</w:t>
            </w:r>
          </w:p>
        </w:tc>
      </w:tr>
      <w:tr w:rsidR="003E3538" w:rsidRPr="00067267" w:rsidTr="003E3538">
        <w:tc>
          <w:tcPr>
            <w:tcW w:w="1333" w:type="pct"/>
          </w:tcPr>
          <w:p w:rsidR="003E3538" w:rsidRPr="00067267" w:rsidRDefault="003E3538" w:rsidP="003E3538">
            <w:pPr>
              <w:spacing w:after="0" w:line="240" w:lineRule="auto"/>
              <w:jc w:val="both"/>
              <w:rPr>
                <w:lang w:val="en-US"/>
              </w:rPr>
            </w:pPr>
            <w:r w:rsidRPr="00067267">
              <w:rPr>
                <w:lang w:val="en-US"/>
              </w:rPr>
              <w:t>Constant</w:t>
            </w:r>
          </w:p>
        </w:tc>
        <w:tc>
          <w:tcPr>
            <w:tcW w:w="721" w:type="pct"/>
          </w:tcPr>
          <w:p w:rsidR="003E3538" w:rsidRPr="00067267" w:rsidRDefault="003E3538" w:rsidP="003E3538">
            <w:pPr>
              <w:spacing w:after="0" w:line="240" w:lineRule="auto"/>
              <w:jc w:val="right"/>
              <w:rPr>
                <w:lang w:val="en-US"/>
              </w:rPr>
            </w:pPr>
            <w:r w:rsidRPr="00067267">
              <w:rPr>
                <w:lang w:val="en-US"/>
              </w:rPr>
              <w:t>-2.887</w:t>
            </w:r>
          </w:p>
        </w:tc>
        <w:tc>
          <w:tcPr>
            <w:tcW w:w="663" w:type="pct"/>
          </w:tcPr>
          <w:p w:rsidR="003E3538" w:rsidRPr="00067267" w:rsidRDefault="003E3538" w:rsidP="003E3538">
            <w:pPr>
              <w:spacing w:after="0" w:line="240" w:lineRule="auto"/>
              <w:jc w:val="right"/>
              <w:rPr>
                <w:lang w:val="en-US"/>
              </w:rPr>
            </w:pPr>
            <w:r w:rsidRPr="00067267">
              <w:rPr>
                <w:lang w:val="en-US"/>
              </w:rPr>
              <w:t>1.781</w:t>
            </w:r>
          </w:p>
        </w:tc>
        <w:tc>
          <w:tcPr>
            <w:tcW w:w="646" w:type="pct"/>
          </w:tcPr>
          <w:p w:rsidR="003E3538" w:rsidRPr="00067267" w:rsidRDefault="003E3538" w:rsidP="003E3538">
            <w:pPr>
              <w:spacing w:after="0" w:line="240" w:lineRule="auto"/>
              <w:jc w:val="right"/>
              <w:rPr>
                <w:lang w:val="en-US"/>
              </w:rPr>
            </w:pPr>
            <w:r w:rsidRPr="00067267">
              <w:rPr>
                <w:lang w:val="en-US"/>
              </w:rPr>
              <w:t>2.352</w:t>
            </w:r>
          </w:p>
        </w:tc>
        <w:tc>
          <w:tcPr>
            <w:tcW w:w="399" w:type="pct"/>
          </w:tcPr>
          <w:p w:rsidR="003E3538" w:rsidRPr="00067267" w:rsidRDefault="003E3538" w:rsidP="003E3538">
            <w:pPr>
              <w:spacing w:after="0" w:line="240" w:lineRule="auto"/>
              <w:jc w:val="right"/>
              <w:rPr>
                <w:lang w:val="en-US"/>
              </w:rPr>
            </w:pPr>
            <w:r w:rsidRPr="00067267">
              <w:rPr>
                <w:lang w:val="en-US"/>
              </w:rPr>
              <w:t>1</w:t>
            </w:r>
          </w:p>
        </w:tc>
        <w:tc>
          <w:tcPr>
            <w:tcW w:w="508" w:type="pct"/>
          </w:tcPr>
          <w:p w:rsidR="003E3538" w:rsidRPr="00067267" w:rsidRDefault="003E3538" w:rsidP="003E3538">
            <w:pPr>
              <w:spacing w:after="0" w:line="240" w:lineRule="auto"/>
              <w:jc w:val="right"/>
              <w:rPr>
                <w:lang w:val="en-US"/>
              </w:rPr>
            </w:pPr>
            <w:r w:rsidRPr="00067267">
              <w:rPr>
                <w:lang w:val="en-US"/>
              </w:rPr>
              <w:t>0.212</w:t>
            </w:r>
          </w:p>
        </w:tc>
        <w:tc>
          <w:tcPr>
            <w:tcW w:w="730" w:type="pct"/>
          </w:tcPr>
          <w:p w:rsidR="003E3538" w:rsidRPr="00067267" w:rsidRDefault="003E3538" w:rsidP="003E3538">
            <w:pPr>
              <w:spacing w:after="0" w:line="240" w:lineRule="auto"/>
              <w:jc w:val="right"/>
              <w:rPr>
                <w:lang w:val="en-US"/>
              </w:rPr>
            </w:pPr>
            <w:r w:rsidRPr="00067267">
              <w:rPr>
                <w:lang w:val="en-US"/>
              </w:rPr>
              <w:t>0.065</w:t>
            </w:r>
          </w:p>
        </w:tc>
      </w:tr>
      <w:tr w:rsidR="003E3538" w:rsidRPr="00067267" w:rsidTr="003E3538">
        <w:tc>
          <w:tcPr>
            <w:tcW w:w="1333" w:type="pct"/>
            <w:tcBorders>
              <w:bottom w:val="single" w:sz="4" w:space="0" w:color="auto"/>
            </w:tcBorders>
          </w:tcPr>
          <w:p w:rsidR="003E3538" w:rsidRPr="00067267" w:rsidRDefault="003E3538" w:rsidP="003E3538">
            <w:pPr>
              <w:spacing w:after="0" w:line="240" w:lineRule="auto"/>
              <w:jc w:val="both"/>
              <w:rPr>
                <w:lang w:val="en-US"/>
              </w:rPr>
            </w:pPr>
            <w:r w:rsidRPr="00067267">
              <w:rPr>
                <w:lang w:val="en-US"/>
              </w:rPr>
              <w:t>Sig. &lt;0.05</w:t>
            </w:r>
          </w:p>
          <w:p w:rsidR="003E3538" w:rsidRPr="00067267" w:rsidRDefault="003E3538" w:rsidP="003E3538">
            <w:pPr>
              <w:spacing w:after="0" w:line="240" w:lineRule="auto"/>
              <w:jc w:val="both"/>
              <w:rPr>
                <w:lang w:val="en-US"/>
              </w:rPr>
            </w:pPr>
            <w:r w:rsidRPr="00067267">
              <w:rPr>
                <w:lang w:val="en-US"/>
              </w:rPr>
              <w:t>Nagelkerke R</w:t>
            </w:r>
            <w:r w:rsidRPr="00067267">
              <w:rPr>
                <w:vertAlign w:val="superscript"/>
                <w:lang w:val="en-US"/>
              </w:rPr>
              <w:t>2</w:t>
            </w:r>
            <w:r w:rsidRPr="00067267">
              <w:rPr>
                <w:lang w:val="en-US"/>
              </w:rPr>
              <w:t xml:space="preserve"> = 0.573</w:t>
            </w:r>
          </w:p>
          <w:p w:rsidR="003E3538" w:rsidRPr="00067267" w:rsidRDefault="003E3538" w:rsidP="003E3538">
            <w:pPr>
              <w:spacing w:after="0" w:line="240" w:lineRule="auto"/>
              <w:jc w:val="both"/>
              <w:rPr>
                <w:lang w:val="en-US"/>
              </w:rPr>
            </w:pPr>
          </w:p>
        </w:tc>
        <w:tc>
          <w:tcPr>
            <w:tcW w:w="721" w:type="pct"/>
            <w:tcBorders>
              <w:bottom w:val="single" w:sz="4" w:space="0" w:color="auto"/>
            </w:tcBorders>
          </w:tcPr>
          <w:p w:rsidR="003E3538" w:rsidRPr="00067267" w:rsidRDefault="003E3538" w:rsidP="003E3538">
            <w:pPr>
              <w:spacing w:after="0" w:line="240" w:lineRule="auto"/>
              <w:jc w:val="right"/>
              <w:rPr>
                <w:lang w:val="en-US"/>
              </w:rPr>
            </w:pPr>
          </w:p>
        </w:tc>
        <w:tc>
          <w:tcPr>
            <w:tcW w:w="663" w:type="pct"/>
            <w:tcBorders>
              <w:bottom w:val="single" w:sz="4" w:space="0" w:color="auto"/>
            </w:tcBorders>
          </w:tcPr>
          <w:p w:rsidR="003E3538" w:rsidRPr="00067267" w:rsidRDefault="003E3538" w:rsidP="003E3538">
            <w:pPr>
              <w:spacing w:after="0" w:line="240" w:lineRule="auto"/>
              <w:jc w:val="right"/>
              <w:rPr>
                <w:lang w:val="en-US"/>
              </w:rPr>
            </w:pPr>
          </w:p>
        </w:tc>
        <w:tc>
          <w:tcPr>
            <w:tcW w:w="646" w:type="pct"/>
            <w:tcBorders>
              <w:bottom w:val="single" w:sz="4" w:space="0" w:color="auto"/>
            </w:tcBorders>
          </w:tcPr>
          <w:p w:rsidR="003E3538" w:rsidRPr="00067267" w:rsidRDefault="003E3538" w:rsidP="003E3538">
            <w:pPr>
              <w:spacing w:after="0" w:line="240" w:lineRule="auto"/>
              <w:jc w:val="right"/>
              <w:rPr>
                <w:lang w:val="en-US"/>
              </w:rPr>
            </w:pPr>
          </w:p>
        </w:tc>
        <w:tc>
          <w:tcPr>
            <w:tcW w:w="399" w:type="pct"/>
            <w:tcBorders>
              <w:bottom w:val="single" w:sz="4" w:space="0" w:color="auto"/>
            </w:tcBorders>
          </w:tcPr>
          <w:p w:rsidR="003E3538" w:rsidRPr="00067267" w:rsidRDefault="003E3538" w:rsidP="003E3538">
            <w:pPr>
              <w:spacing w:after="0" w:line="240" w:lineRule="auto"/>
              <w:jc w:val="right"/>
              <w:rPr>
                <w:lang w:val="en-US"/>
              </w:rPr>
            </w:pPr>
          </w:p>
        </w:tc>
        <w:tc>
          <w:tcPr>
            <w:tcW w:w="508" w:type="pct"/>
            <w:tcBorders>
              <w:bottom w:val="single" w:sz="4" w:space="0" w:color="auto"/>
            </w:tcBorders>
          </w:tcPr>
          <w:p w:rsidR="003E3538" w:rsidRPr="00067267" w:rsidRDefault="003E3538" w:rsidP="003E3538">
            <w:pPr>
              <w:spacing w:after="0" w:line="240" w:lineRule="auto"/>
              <w:jc w:val="right"/>
              <w:rPr>
                <w:lang w:val="en-US"/>
              </w:rPr>
            </w:pPr>
          </w:p>
        </w:tc>
        <w:tc>
          <w:tcPr>
            <w:tcW w:w="730" w:type="pct"/>
            <w:tcBorders>
              <w:bottom w:val="single" w:sz="4" w:space="0" w:color="auto"/>
            </w:tcBorders>
          </w:tcPr>
          <w:p w:rsidR="003E3538" w:rsidRPr="00067267" w:rsidRDefault="003E3538" w:rsidP="003E3538">
            <w:pPr>
              <w:spacing w:after="0" w:line="240" w:lineRule="auto"/>
              <w:jc w:val="right"/>
              <w:rPr>
                <w:lang w:val="en-US"/>
              </w:rPr>
            </w:pP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left w:val="nil"/>
              <w:bottom w:val="single" w:sz="4" w:space="0" w:color="auto"/>
              <w:right w:val="nil"/>
            </w:tcBorders>
          </w:tcPr>
          <w:p w:rsidR="003E3538" w:rsidRPr="00067267" w:rsidRDefault="003E3538" w:rsidP="003E3538">
            <w:pPr>
              <w:spacing w:after="0" w:line="240" w:lineRule="auto"/>
              <w:rPr>
                <w:lang w:val="en-US"/>
              </w:rPr>
            </w:pPr>
            <w:r w:rsidRPr="00067267">
              <w:rPr>
                <w:lang w:val="en-US"/>
              </w:rPr>
              <w:t>Model 2</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left w:val="nil"/>
              <w:bottom w:val="nil"/>
              <w:right w:val="nil"/>
            </w:tcBorders>
          </w:tcPr>
          <w:p w:rsidR="003E3538" w:rsidRPr="00067267" w:rsidRDefault="003E3538" w:rsidP="003E3538">
            <w:pPr>
              <w:spacing w:after="0" w:line="240" w:lineRule="auto"/>
              <w:jc w:val="both"/>
              <w:rPr>
                <w:lang w:val="en-US"/>
              </w:rPr>
            </w:pPr>
            <w:r w:rsidRPr="00067267">
              <w:rPr>
                <w:lang w:val="en-US"/>
              </w:rPr>
              <w:t>Fin.Stability</w:t>
            </w:r>
          </w:p>
        </w:tc>
        <w:tc>
          <w:tcPr>
            <w:tcW w:w="721" w:type="pct"/>
            <w:tcBorders>
              <w:left w:val="nil"/>
              <w:bottom w:val="nil"/>
              <w:right w:val="nil"/>
            </w:tcBorders>
          </w:tcPr>
          <w:p w:rsidR="003E3538" w:rsidRPr="00067267" w:rsidRDefault="003E3538" w:rsidP="003E3538">
            <w:pPr>
              <w:spacing w:after="0" w:line="240" w:lineRule="auto"/>
              <w:jc w:val="right"/>
              <w:rPr>
                <w:lang w:val="en-US"/>
              </w:rPr>
            </w:pPr>
            <w:r w:rsidRPr="00067267">
              <w:rPr>
                <w:lang w:val="en-US"/>
              </w:rPr>
              <w:t>3.670</w:t>
            </w:r>
          </w:p>
        </w:tc>
        <w:tc>
          <w:tcPr>
            <w:tcW w:w="663" w:type="pct"/>
            <w:tcBorders>
              <w:left w:val="nil"/>
              <w:bottom w:val="nil"/>
              <w:right w:val="nil"/>
            </w:tcBorders>
          </w:tcPr>
          <w:p w:rsidR="003E3538" w:rsidRPr="00067267" w:rsidRDefault="003E3538" w:rsidP="003E3538">
            <w:pPr>
              <w:spacing w:after="0" w:line="240" w:lineRule="auto"/>
              <w:jc w:val="right"/>
              <w:rPr>
                <w:lang w:val="en-US"/>
              </w:rPr>
            </w:pPr>
            <w:r w:rsidRPr="00067267">
              <w:rPr>
                <w:lang w:val="en-US"/>
              </w:rPr>
              <w:t>3.037</w:t>
            </w:r>
          </w:p>
        </w:tc>
        <w:tc>
          <w:tcPr>
            <w:tcW w:w="646" w:type="pct"/>
            <w:tcBorders>
              <w:left w:val="nil"/>
              <w:bottom w:val="nil"/>
              <w:right w:val="nil"/>
            </w:tcBorders>
          </w:tcPr>
          <w:p w:rsidR="003E3538" w:rsidRPr="00067267" w:rsidRDefault="003E3538" w:rsidP="003E3538">
            <w:pPr>
              <w:spacing w:after="0" w:line="240" w:lineRule="auto"/>
              <w:jc w:val="right"/>
              <w:rPr>
                <w:lang w:val="en-US"/>
              </w:rPr>
            </w:pPr>
            <w:r w:rsidRPr="00067267">
              <w:rPr>
                <w:lang w:val="en-US"/>
              </w:rPr>
              <w:t>1.721</w:t>
            </w:r>
          </w:p>
        </w:tc>
        <w:tc>
          <w:tcPr>
            <w:tcW w:w="399" w:type="pct"/>
            <w:tcBorders>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left w:val="nil"/>
              <w:bottom w:val="nil"/>
              <w:right w:val="nil"/>
            </w:tcBorders>
          </w:tcPr>
          <w:p w:rsidR="003E3538" w:rsidRPr="00067267" w:rsidRDefault="003E3538" w:rsidP="003E3538">
            <w:pPr>
              <w:spacing w:after="0" w:line="240" w:lineRule="auto"/>
              <w:jc w:val="right"/>
              <w:rPr>
                <w:lang w:val="en-US"/>
              </w:rPr>
            </w:pPr>
            <w:r w:rsidRPr="00067267">
              <w:rPr>
                <w:lang w:val="en-US"/>
              </w:rPr>
              <w:t>0.191</w:t>
            </w:r>
          </w:p>
        </w:tc>
        <w:tc>
          <w:tcPr>
            <w:tcW w:w="730" w:type="pct"/>
            <w:tcBorders>
              <w:left w:val="nil"/>
              <w:bottom w:val="nil"/>
              <w:right w:val="nil"/>
            </w:tcBorders>
          </w:tcPr>
          <w:p w:rsidR="003E3538" w:rsidRPr="00067267" w:rsidRDefault="003E3538" w:rsidP="003E3538">
            <w:pPr>
              <w:spacing w:after="0" w:line="240" w:lineRule="auto"/>
              <w:jc w:val="right"/>
              <w:rPr>
                <w:lang w:val="en-US"/>
              </w:rPr>
            </w:pPr>
            <w:r w:rsidRPr="00067267">
              <w:rPr>
                <w:lang w:val="en-US"/>
              </w:rPr>
              <w:t>51.969</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Ext.Pressure</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1.215</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1.714</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0.338</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0.508</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3.106</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Fin.Target</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-0.930</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4.047</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0.053</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0.818</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0.395</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Effective Monitoring</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-23.217</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4.687</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10.174</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0.001</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146.324</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Accruals</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29.300</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8.679</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11.397</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0.001</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5.209E+12</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Integration Technology Industry</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p>
          <w:p w:rsidR="003E3538" w:rsidRPr="00067267" w:rsidRDefault="003E3538" w:rsidP="003E3538">
            <w:pPr>
              <w:spacing w:after="0" w:line="240" w:lineRule="auto"/>
              <w:jc w:val="right"/>
              <w:rPr>
                <w:lang w:val="en-US"/>
              </w:rPr>
            </w:pPr>
            <w:r w:rsidRPr="00067267">
              <w:rPr>
                <w:lang w:val="en-US"/>
              </w:rPr>
              <w:t>0.067</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p>
          <w:p w:rsidR="003E3538" w:rsidRPr="00067267" w:rsidRDefault="003E3538" w:rsidP="003E3538">
            <w:pPr>
              <w:spacing w:after="0" w:line="240" w:lineRule="auto"/>
              <w:jc w:val="right"/>
              <w:rPr>
                <w:lang w:val="en-US"/>
              </w:rPr>
            </w:pPr>
            <w:r w:rsidRPr="00067267">
              <w:rPr>
                <w:lang w:val="en-US"/>
              </w:rPr>
              <w:t>0.706</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p>
          <w:p w:rsidR="003E3538" w:rsidRPr="00067267" w:rsidRDefault="003E3538" w:rsidP="003E3538">
            <w:pPr>
              <w:spacing w:after="0" w:line="240" w:lineRule="auto"/>
              <w:jc w:val="right"/>
              <w:rPr>
                <w:lang w:val="en-US"/>
              </w:rPr>
            </w:pPr>
            <w:r w:rsidRPr="00067267">
              <w:rPr>
                <w:lang w:val="en-US"/>
              </w:rPr>
              <w:t>2.012</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p>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p>
          <w:p w:rsidR="003E3538" w:rsidRPr="00067267" w:rsidRDefault="003E3538" w:rsidP="003E3538">
            <w:pPr>
              <w:spacing w:after="0" w:line="240" w:lineRule="auto"/>
              <w:jc w:val="right"/>
              <w:rPr>
                <w:lang w:val="en-US"/>
              </w:rPr>
            </w:pPr>
            <w:r w:rsidRPr="00067267">
              <w:rPr>
                <w:lang w:val="en-US"/>
              </w:rPr>
              <w:t>0.013</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p>
          <w:p w:rsidR="003E3538" w:rsidRPr="00067267" w:rsidRDefault="003E3538" w:rsidP="003E3538">
            <w:pPr>
              <w:spacing w:after="0" w:line="240" w:lineRule="auto"/>
              <w:jc w:val="right"/>
              <w:rPr>
                <w:lang w:val="en-US"/>
              </w:rPr>
            </w:pPr>
            <w:r w:rsidRPr="00067267">
              <w:rPr>
                <w:lang w:val="en-US"/>
              </w:rPr>
              <w:t>0.936</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Interaction</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13855.46</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18217.10</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10.675</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0.003</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Constant</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-2.906</w:t>
            </w: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1.829</w:t>
            </w: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2.352</w:t>
            </w: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1</w:t>
            </w: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0.212</w:t>
            </w: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r w:rsidRPr="00067267">
              <w:rPr>
                <w:lang w:val="en-US"/>
              </w:rPr>
              <w:t>0.055</w:t>
            </w: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nil"/>
              <w:right w:val="nil"/>
            </w:tcBorders>
          </w:tcPr>
          <w:p w:rsidR="003E3538" w:rsidRPr="00067267" w:rsidRDefault="003E3538" w:rsidP="003E3538">
            <w:pPr>
              <w:spacing w:after="0" w:line="240" w:lineRule="auto"/>
              <w:jc w:val="both"/>
              <w:rPr>
                <w:lang w:val="en-US"/>
              </w:rPr>
            </w:pPr>
            <w:r w:rsidRPr="00067267">
              <w:rPr>
                <w:lang w:val="en-US"/>
              </w:rPr>
              <w:t>Sig. &lt;0.05</w:t>
            </w:r>
          </w:p>
          <w:p w:rsidR="003E3538" w:rsidRPr="00067267" w:rsidRDefault="003E3538" w:rsidP="003E3538">
            <w:pPr>
              <w:spacing w:after="0" w:line="240" w:lineRule="auto"/>
              <w:jc w:val="both"/>
              <w:rPr>
                <w:lang w:val="en-US"/>
              </w:rPr>
            </w:pPr>
            <w:r w:rsidRPr="00067267">
              <w:rPr>
                <w:lang w:val="en-US"/>
              </w:rPr>
              <w:t>Nagelkerke R</w:t>
            </w:r>
            <w:r w:rsidRPr="00067267">
              <w:rPr>
                <w:vertAlign w:val="superscript"/>
                <w:lang w:val="en-US"/>
              </w:rPr>
              <w:t>2</w:t>
            </w:r>
            <w:r w:rsidRPr="00067267">
              <w:rPr>
                <w:lang w:val="en-US"/>
              </w:rPr>
              <w:t xml:space="preserve"> = 69.1%</w:t>
            </w:r>
          </w:p>
        </w:tc>
        <w:tc>
          <w:tcPr>
            <w:tcW w:w="721" w:type="pct"/>
            <w:tcBorders>
              <w:top w:val="nil"/>
              <w:left w:val="nil"/>
              <w:bottom w:val="nil"/>
              <w:right w:val="nil"/>
            </w:tcBorders>
          </w:tcPr>
          <w:p w:rsidR="003E3538" w:rsidRPr="00067267" w:rsidRDefault="003E3538" w:rsidP="003E3538">
            <w:pPr>
              <w:spacing w:after="0" w:line="240" w:lineRule="auto"/>
              <w:jc w:val="right"/>
              <w:rPr>
                <w:lang w:val="en-US"/>
              </w:rPr>
            </w:pPr>
          </w:p>
        </w:tc>
        <w:tc>
          <w:tcPr>
            <w:tcW w:w="663" w:type="pct"/>
            <w:tcBorders>
              <w:top w:val="nil"/>
              <w:left w:val="nil"/>
              <w:bottom w:val="nil"/>
              <w:right w:val="nil"/>
            </w:tcBorders>
          </w:tcPr>
          <w:p w:rsidR="003E3538" w:rsidRPr="00067267" w:rsidRDefault="003E3538" w:rsidP="003E3538">
            <w:pPr>
              <w:spacing w:after="0" w:line="240" w:lineRule="auto"/>
              <w:jc w:val="right"/>
              <w:rPr>
                <w:lang w:val="en-US"/>
              </w:rPr>
            </w:pPr>
          </w:p>
        </w:tc>
        <w:tc>
          <w:tcPr>
            <w:tcW w:w="646" w:type="pct"/>
            <w:tcBorders>
              <w:top w:val="nil"/>
              <w:left w:val="nil"/>
              <w:bottom w:val="nil"/>
              <w:right w:val="nil"/>
            </w:tcBorders>
          </w:tcPr>
          <w:p w:rsidR="003E3538" w:rsidRPr="00067267" w:rsidRDefault="003E3538" w:rsidP="003E3538">
            <w:pPr>
              <w:spacing w:after="0" w:line="240" w:lineRule="auto"/>
              <w:jc w:val="right"/>
              <w:rPr>
                <w:lang w:val="en-US"/>
              </w:rPr>
            </w:pPr>
          </w:p>
        </w:tc>
        <w:tc>
          <w:tcPr>
            <w:tcW w:w="399" w:type="pct"/>
            <w:tcBorders>
              <w:top w:val="nil"/>
              <w:left w:val="nil"/>
              <w:bottom w:val="nil"/>
              <w:right w:val="nil"/>
            </w:tcBorders>
          </w:tcPr>
          <w:p w:rsidR="003E3538" w:rsidRPr="00067267" w:rsidRDefault="003E3538" w:rsidP="003E3538">
            <w:pPr>
              <w:spacing w:after="0" w:line="240" w:lineRule="auto"/>
              <w:jc w:val="right"/>
              <w:rPr>
                <w:lang w:val="en-US"/>
              </w:rPr>
            </w:pPr>
          </w:p>
        </w:tc>
        <w:tc>
          <w:tcPr>
            <w:tcW w:w="508" w:type="pct"/>
            <w:tcBorders>
              <w:top w:val="nil"/>
              <w:left w:val="nil"/>
              <w:bottom w:val="nil"/>
              <w:right w:val="nil"/>
            </w:tcBorders>
          </w:tcPr>
          <w:p w:rsidR="003E3538" w:rsidRPr="00067267" w:rsidRDefault="003E3538" w:rsidP="003E3538">
            <w:pPr>
              <w:spacing w:after="0" w:line="240" w:lineRule="auto"/>
              <w:jc w:val="right"/>
              <w:rPr>
                <w:lang w:val="en-US"/>
              </w:rPr>
            </w:pPr>
          </w:p>
        </w:tc>
        <w:tc>
          <w:tcPr>
            <w:tcW w:w="730" w:type="pct"/>
            <w:tcBorders>
              <w:top w:val="nil"/>
              <w:left w:val="nil"/>
              <w:bottom w:val="nil"/>
              <w:right w:val="nil"/>
            </w:tcBorders>
          </w:tcPr>
          <w:p w:rsidR="003E3538" w:rsidRPr="00067267" w:rsidRDefault="003E3538" w:rsidP="003E3538">
            <w:pPr>
              <w:spacing w:after="0" w:line="240" w:lineRule="auto"/>
              <w:jc w:val="right"/>
              <w:rPr>
                <w:lang w:val="en-US"/>
              </w:rPr>
            </w:pP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c>
          <w:tcPr>
            <w:tcW w:w="721"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c>
          <w:tcPr>
            <w:tcW w:w="663"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c>
          <w:tcPr>
            <w:tcW w:w="646"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c>
          <w:tcPr>
            <w:tcW w:w="399"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c>
          <w:tcPr>
            <w:tcW w:w="508"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c>
          <w:tcPr>
            <w:tcW w:w="730" w:type="pct"/>
            <w:tcBorders>
              <w:top w:val="nil"/>
              <w:left w:val="nil"/>
              <w:bottom w:val="single" w:sz="4" w:space="0" w:color="auto"/>
              <w:right w:val="nil"/>
            </w:tcBorders>
          </w:tcPr>
          <w:p w:rsidR="003E3538" w:rsidRPr="00067267" w:rsidRDefault="003E3538" w:rsidP="003E3538">
            <w:pPr>
              <w:spacing w:after="0" w:line="240" w:lineRule="auto"/>
              <w:jc w:val="both"/>
              <w:rPr>
                <w:lang w:val="en-US"/>
              </w:rPr>
            </w:pPr>
          </w:p>
        </w:tc>
      </w:tr>
      <w:tr w:rsidR="003E3538" w:rsidRPr="00067267" w:rsidTr="003E3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7" w:type="pct"/>
            <w:gridSpan w:val="3"/>
            <w:tcBorders>
              <w:top w:val="single" w:sz="4" w:space="0" w:color="auto"/>
              <w:left w:val="nil"/>
              <w:bottom w:val="nil"/>
              <w:right w:val="nil"/>
            </w:tcBorders>
          </w:tcPr>
          <w:p w:rsidR="003E3538" w:rsidRPr="00067267" w:rsidRDefault="003E3538" w:rsidP="003E3538">
            <w:pPr>
              <w:spacing w:after="0" w:line="240" w:lineRule="auto"/>
              <w:jc w:val="both"/>
              <w:rPr>
                <w:lang w:val="en-US"/>
              </w:rPr>
            </w:pPr>
            <w:r w:rsidRPr="00067267">
              <w:t>Source</w:t>
            </w:r>
            <w:r w:rsidRPr="00067267">
              <w:rPr>
                <w:i/>
              </w:rPr>
              <w:t>:</w:t>
            </w:r>
            <w:r w:rsidRPr="00067267">
              <w:rPr>
                <w:i/>
                <w:lang w:val="en-US"/>
              </w:rPr>
              <w:t xml:space="preserve"> </w:t>
            </w:r>
            <w:r w:rsidRPr="00067267">
              <w:rPr>
                <w:lang w:val="en-US"/>
              </w:rPr>
              <w:t>Processed data, 2020</w:t>
            </w:r>
          </w:p>
        </w:tc>
        <w:tc>
          <w:tcPr>
            <w:tcW w:w="646" w:type="pct"/>
            <w:tcBorders>
              <w:top w:val="single" w:sz="4" w:space="0" w:color="auto"/>
              <w:left w:val="nil"/>
              <w:bottom w:val="nil"/>
              <w:right w:val="nil"/>
            </w:tcBorders>
          </w:tcPr>
          <w:p w:rsidR="003E3538" w:rsidRPr="00067267" w:rsidRDefault="003E3538" w:rsidP="003E3538">
            <w:pPr>
              <w:spacing w:after="0" w:line="240" w:lineRule="auto"/>
              <w:jc w:val="both"/>
              <w:rPr>
                <w:lang w:val="en-US"/>
              </w:rPr>
            </w:pPr>
          </w:p>
        </w:tc>
        <w:tc>
          <w:tcPr>
            <w:tcW w:w="399" w:type="pct"/>
            <w:tcBorders>
              <w:top w:val="single" w:sz="4" w:space="0" w:color="auto"/>
              <w:left w:val="nil"/>
              <w:bottom w:val="nil"/>
              <w:right w:val="nil"/>
            </w:tcBorders>
          </w:tcPr>
          <w:p w:rsidR="003E3538" w:rsidRPr="00067267" w:rsidRDefault="003E3538" w:rsidP="003E3538">
            <w:pPr>
              <w:spacing w:after="0" w:line="240" w:lineRule="auto"/>
              <w:jc w:val="both"/>
              <w:rPr>
                <w:lang w:val="en-US"/>
              </w:rPr>
            </w:pPr>
          </w:p>
        </w:tc>
        <w:tc>
          <w:tcPr>
            <w:tcW w:w="508" w:type="pct"/>
            <w:tcBorders>
              <w:top w:val="single" w:sz="4" w:space="0" w:color="auto"/>
              <w:left w:val="nil"/>
              <w:bottom w:val="nil"/>
              <w:right w:val="nil"/>
            </w:tcBorders>
          </w:tcPr>
          <w:p w:rsidR="003E3538" w:rsidRPr="00067267" w:rsidRDefault="003E3538" w:rsidP="003E3538">
            <w:pPr>
              <w:spacing w:after="0" w:line="240" w:lineRule="auto"/>
              <w:jc w:val="both"/>
              <w:rPr>
                <w:lang w:val="en-US"/>
              </w:rPr>
            </w:pPr>
          </w:p>
        </w:tc>
        <w:tc>
          <w:tcPr>
            <w:tcW w:w="730" w:type="pct"/>
            <w:tcBorders>
              <w:top w:val="single" w:sz="4" w:space="0" w:color="auto"/>
              <w:left w:val="nil"/>
              <w:bottom w:val="nil"/>
              <w:right w:val="nil"/>
            </w:tcBorders>
          </w:tcPr>
          <w:p w:rsidR="003E3538" w:rsidRPr="00067267" w:rsidRDefault="003E3538" w:rsidP="003E3538">
            <w:pPr>
              <w:spacing w:after="0" w:line="240" w:lineRule="auto"/>
              <w:jc w:val="both"/>
              <w:rPr>
                <w:lang w:val="en-US"/>
              </w:rPr>
            </w:pPr>
          </w:p>
        </w:tc>
      </w:tr>
    </w:tbl>
    <w:p w:rsidR="00FC41C2" w:rsidRPr="00067267" w:rsidRDefault="003E3538" w:rsidP="003B6666">
      <w:pPr>
        <w:spacing w:after="0"/>
        <w:jc w:val="both"/>
        <w:rPr>
          <w:lang w:val="en-US"/>
        </w:rPr>
      </w:pPr>
      <w:r w:rsidRPr="00067267">
        <w:rPr>
          <w:lang w:val="en-US"/>
        </w:rPr>
        <w:t>ability or resources to understand and process all available information and alternatives to make optimal decisions. Lack of rationality makes it easy for offenders to convince themselves to act fraudulently. According to agency theory, the agent tries only provide good information to the principal, but for management's purpose it can manipulate financial statements using unreasonable accrual discretion. These results also support the theory of planned behavior, namely attitudes toward behavior and subjective norms. This subjective norm is also supported by the core theory of the Crime Triangle from the perspective of agency theory, it can be explained that basically humans have limited rationality. The agent tries to only provide good information to the principal, but for management's purpose it can manipulate financial statements using unreasonable accrual discretion. These results also support the theory of planned behavior, namely attitudes toward behavior and subjective norms. This subjective norm is also supported by the core theory of the Crime Triangle. Accruals have a positive effect on the occurrence of financial statement fraud because there is limited rationality around the perpetrators, the social aspects expressed in the theory of planned behavior influence the rationalization of the perpetrators to create trust in the perpetrators to commit fraud such as fraudulen</w:t>
      </w:r>
      <w:r w:rsidR="00C47FB4" w:rsidRPr="00067267">
        <w:rPr>
          <w:lang w:val="en-US"/>
        </w:rPr>
        <w:t>s</w:t>
      </w:r>
      <w:r w:rsidRPr="00067267">
        <w:rPr>
          <w:lang w:val="en-US"/>
        </w:rPr>
        <w:t xml:space="preserve">t financial reporting. This study supports the research of </w:t>
      </w:r>
      <w:hyperlink w:anchor="_References_1" w:history="1">
        <w:r w:rsidR="00C47FB4" w:rsidRPr="00067267">
          <w:rPr>
            <w:rStyle w:val="Hyperlink"/>
            <w:u w:val="none"/>
            <w:lang w:val="en-US"/>
          </w:rPr>
          <w:fldChar w:fldCharType="begin" w:fldLock="1"/>
        </w:r>
        <w:r w:rsidR="00C47FB4" w:rsidRPr="00067267">
          <w:rPr>
            <w:rStyle w:val="Hyperlink"/>
            <w:u w:val="none"/>
            <w:lang w:val="en-US"/>
          </w:rPr>
          <w:instrText>ADDIN CSL_CITATION {"citationItems":[{"id":"ITEM-1","itemData":{"DOI":"10.1108/13527600910977373","ISSN":"17586089","abstract":"Purpose – The purpose of this research is to determine the likelihood of financial statement manipulations in companies throughout a variety of emerging market countries and compare this potential wirh that of firms within the USA. Design/methodology/approach – The authors utilize the Fraud Score Model, as set forth by Dechow et al., to determine the likelihood of financial statement manipulations. By adjusting their model to work in an international setting, the authors are able to study nine industries across 23 countries, including the USA. Findings – The results vary from industry to industry, with some countries performing extremely well in one industry, only to prove remarkably risky in the next. Originality/value – The findings may be used by a variety of market participants, especially investors, to determine the risk levels of potential foreign investments. Therefore, this research can help lead to a more overall efficient placement of global capital. © 2009, Emerald Group Publishing Limited","author":[{"dropping-particle":"","family":"Skousen","given":"Christopher J.","non-dropping-particle":"","parse-names":false,"suffix":""},{"dropping-particle":"","family":"Twedt","given":"Brady James","non-dropping-particle":"","parse-names":false,"suffix":""}],"container-title":"Cross Cultural Management: An International Journal","id":"ITEM-1","issued":{"date-parts":[["2009"]]},"title":"Fraud score analysis in emerging markets","type":"article-journal"},"uris":["http://www.mendeley.com/documents/?uuid=71c3d2dd-2e57-4e1c-8061-9f9787489b60"]}],"mendeley":{"formattedCitation":"(Skousen &amp; Twedt, 2009)","manualFormatting":"Skousen &amp; Twedt, (2009)","plainTextFormattedCitation":"(Skousen &amp; Twedt, 2009)","previouslyFormattedCitation":"(Skousen &amp; Twedt, 2009)"},"properties":{"noteIndex":0},"schema":"https://github.com/citation-style-language/schema/raw/master/csl-citation.json"}</w:instrText>
        </w:r>
        <w:r w:rsidR="00C47FB4" w:rsidRPr="00067267">
          <w:rPr>
            <w:rStyle w:val="Hyperlink"/>
            <w:u w:val="none"/>
            <w:lang w:val="en-US"/>
          </w:rPr>
          <w:fldChar w:fldCharType="separate"/>
        </w:r>
        <w:r w:rsidR="00C47FB4" w:rsidRPr="00067267">
          <w:rPr>
            <w:rStyle w:val="Hyperlink"/>
            <w:u w:val="none"/>
            <w:lang w:val="en-US"/>
          </w:rPr>
          <w:t xml:space="preserve">Skousen &amp; </w:t>
        </w:r>
        <w:r w:rsidR="00C47FB4" w:rsidRPr="00067267">
          <w:rPr>
            <w:rStyle w:val="Hyperlink"/>
            <w:u w:val="none"/>
            <w:lang w:val="en-US"/>
          </w:rPr>
          <w:lastRenderedPageBreak/>
          <w:t>Twedt (2009)</w:t>
        </w:r>
        <w:r w:rsidR="00C47FB4" w:rsidRPr="00067267">
          <w:rPr>
            <w:rStyle w:val="Hyperlink"/>
            <w:u w:val="none"/>
            <w:lang w:val="en-US"/>
          </w:rPr>
          <w:fldChar w:fldCharType="end"/>
        </w:r>
      </w:hyperlink>
      <w:r w:rsidRPr="00067267">
        <w:rPr>
          <w:lang w:val="en-US"/>
        </w:rPr>
        <w:t xml:space="preserve"> and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{"citationItems":[{"id":"ITEM-1","itemData":{"DOI":"10.1111/j.1467-629X.2007.00247.x","ISSN":"08105391","abstract":"In recent years, the importance of good corporate governance has received significant public and regulatory attention. A crucial part of an entity's corporate governance is its internal audit function. At the same time, there has been significant public concern about the level of fraud within organizations. The purpose of this study is to assess whether organizations with an internal audit function are more likely to detect and self-report fraud than those without. In this study, we use a unique self-reported measure of misappropriation of assets fraud for the first time. The fraud data are from the 2004 KPMG Fraud Survey, which reported fraud from 491 organizations in the private and public sector across Australia and New Zealand. The internal audit data are from a separate mail survey sent to the respondents of the KPMG Fraud Survey. We find that organizations with an internal audit function are more likely than those without such a function to detect and self-report fraud. Furthermore, organizations that rely solely on outsourcing for their internal audit function are less likely to detect and self-report fraud than those that undertake at least part of their internal audit function themselves. These findings suggest that internal audit adds value through improving the control and monitoring environment within organizations to detect and self-report fraud. These results also suggest that keeping the internal audit function within the organization is more effective than completely outsourcing that function. © 2008 The Authors.","author":[{"dropping-particle":"","family":"Coram","given":"Paul","non-dropping-particle":"","parse-names":false,"suffix":""},{"dropping-particle":"","family":"Ferguson","given":"Colin","non-dropping-particle":"","parse-names":false,"suffix":""},{"dropping-particle":"","family":"Moroney","given":"Robyn","non-dropping-particle":"","parse-names":false,"suffix":""}],"container-title":"Accounting and Finance","id":"ITEM-1","issue":"4","issued":{"date-parts":[["2008"]]},"page":"543-559","title":"Internal audit, alternative internal audit structures and the level of misappropriation of assets fraud","type":"article-journal","volume":"48"},"uris":["http://www.mendeley.com/documents/?uuid=684eeffe-1766-4391-8ac7-46e74a42e462"]}],"mendeley":{"formattedCitation":"(Coram et al., 2008)","manualFormatting":"Coram, Ferguson, &amp; Moroney, (2008)","plainTextFormattedCitation":"(Coram et al., 2008)","previouslyFormattedCitation":"(Coram et al., 2008)"},"properties":{"noteIndex":0},"schema":"https://github.com/citation-style-language/schema/raw/master/csl-citation.json"}</w:instrText>
        </w:r>
        <w:r w:rsidRPr="00067267">
          <w:rPr>
            <w:rStyle w:val="Hyperlink"/>
            <w:u w:val="none"/>
            <w:lang w:val="en-US"/>
          </w:rPr>
          <w:fldChar w:fldCharType="separate"/>
        </w:r>
        <w:r w:rsidRPr="00067267">
          <w:rPr>
            <w:rStyle w:val="Hyperlink"/>
            <w:noProof/>
            <w:u w:val="none"/>
            <w:lang w:val="en-US"/>
          </w:rPr>
          <w:t>Coram et al., (2008)</w:t>
        </w:r>
        <w:r w:rsidRPr="00067267">
          <w:rPr>
            <w:rStyle w:val="Hyperlink"/>
            <w:u w:val="none"/>
            <w:lang w:val="en-US"/>
          </w:rPr>
          <w:fldChar w:fldCharType="end"/>
        </w:r>
      </w:hyperlink>
      <w:r w:rsidRPr="00067267">
        <w:rPr>
          <w:lang w:val="en-US"/>
        </w:rPr>
        <w:t xml:space="preserve"> but does not support research to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DOI":"10.17509/jrak.v3i3.6621","author":[{"dropping-particle":"","family":"Aprilia","given":"","non-dropping-particle":"","parse-names":false,"suffix":""},{"dropping-particle":"","family":"Sergius","given":"","non-dropping-particle":"","parse-names":false,"suffix":""}],"container-title":"Riset Akuntansi dan Keuangan","id":"ITEM-1","issue":"3","issued":{"date-parts":[["2015"]]},"page":"786-800","title":"The effectibeness of fraud triangle on detecting fraudulent financial statements : using Benesih model and the case of special companies","type":"article-journal","volume":"3"},"uris":["http://www.mendeley.com/documents/?uuid=e112a4e6-51dd-4d4c-91cc-28dce176fa96"]}],"mendeley":{"formattedCitation":"(Aprilia &amp; Sergius, 2015)","manualFormatting":"Aprilia &amp; Sergius, (2015)","plainTextFormattedCitation":"(Aprilia &amp; Sergius, 2015)","previouslyFormattedCitation":"(Aprilia &amp; Sergius, 2015)"},"properties":{"noteIndex":0},"schema":"https://github.com/citation-style-language/schema/raw/master/csl-citation.json"}</w:instrText>
        </w:r>
        <w:r w:rsidRPr="00067267">
          <w:rPr>
            <w:rStyle w:val="Hyperlink"/>
            <w:u w:val="none"/>
            <w:lang w:val="en-US"/>
          </w:rPr>
          <w:fldChar w:fldCharType="separate"/>
        </w:r>
        <w:r w:rsidRPr="00067267">
          <w:rPr>
            <w:rStyle w:val="Hyperlink"/>
            <w:noProof/>
            <w:u w:val="none"/>
            <w:lang w:val="en-US"/>
          </w:rPr>
          <w:t>Aprilia &amp; Sergius, (2015)</w:t>
        </w:r>
        <w:r w:rsidRPr="00067267">
          <w:rPr>
            <w:rStyle w:val="Hyperlink"/>
            <w:u w:val="none"/>
            <w:lang w:val="en-US"/>
          </w:rPr>
          <w:fldChar w:fldCharType="end"/>
        </w:r>
      </w:hyperlink>
      <w:r w:rsidRPr="00067267">
        <w:rPr>
          <w:lang w:val="en-US"/>
        </w:rPr>
        <w:t xml:space="preserve"> which states there is no effect of total accruals to assets that proxies rationalization on fraudulent financial reports.</w:t>
      </w:r>
    </w:p>
    <w:p w:rsidR="003B6666" w:rsidRPr="00067267" w:rsidRDefault="003B6666" w:rsidP="003B6666">
      <w:pPr>
        <w:spacing w:after="0"/>
        <w:ind w:firstLine="720"/>
        <w:jc w:val="both"/>
        <w:rPr>
          <w:lang w:val="en-US"/>
        </w:rPr>
      </w:pPr>
      <w:bookmarkStart w:id="4" w:name="_Table_6._Regression"/>
      <w:bookmarkStart w:id="5" w:name="_Table_1._Descriptive"/>
      <w:bookmarkEnd w:id="4"/>
      <w:bookmarkEnd w:id="5"/>
      <w:r w:rsidRPr="00067267">
        <w:rPr>
          <w:lang w:val="en-US"/>
        </w:rPr>
        <w:t xml:space="preserve">Identification of moderation variables is done by subgroup analysis with two stages </w:t>
      </w:r>
      <w:r w:rsidRPr="00067267">
        <w:rPr>
          <w:lang w:val="en-US"/>
        </w:rPr>
        <w:fldChar w:fldCharType="begin" w:fldLock="1"/>
      </w:r>
      <w:r w:rsidRPr="00067267">
        <w:rPr>
          <w:lang w:val="en-US"/>
        </w:rPr>
        <w:instrText>ADDIN CSL_CITATION {"citationItems":[{"id":"ITEM-1","itemData":{"DOI":"10.14710/jsmo.v1i2.4175","author":[{"dropping-particle":"","family":"Sugiono","given":"","non-dropping-particle":"","parse-names":false,"suffix":""}],"container-title":"Jurnal studi manajemen dan organisasi","id":"ITEM-1","issue":"2","issued":{"date-parts":[["2004"]]},"page":"61-70","title":"Konsep, identifikasi, alat analisis dan masalah penggunaan variabel moderator","type":"article-journal","volume":"1"},"uris":["http://www.mendeley.com/documents/?uuid=0e77e4dd-961a-4ebe-a75d-3306cbae293a"]}],"mendeley":{"formattedCitation":"(Sugiono, 2004)","plainTextFormattedCitation":"(Sugiono, 2004)","previouslyFormattedCitation":"(Sugiono, 2004)"},"properties":{"noteIndex":0},"schema":"https://github.com/citation-style-language/schema/raw/master/csl-citation.json"}</w:instrText>
      </w:r>
      <w:r w:rsidRPr="00067267">
        <w:rPr>
          <w:lang w:val="en-US"/>
        </w:rPr>
        <w:fldChar w:fldCharType="separate"/>
      </w:r>
      <w:r w:rsidRPr="00067267">
        <w:rPr>
          <w:lang w:val="en-US"/>
        </w:rPr>
        <w:t>(</w:t>
      </w:r>
      <w:hyperlink w:anchor="_References_1" w:history="1">
        <w:r w:rsidRPr="00067267">
          <w:rPr>
            <w:rStyle w:val="Hyperlink"/>
            <w:u w:val="none"/>
            <w:lang w:val="en-US"/>
          </w:rPr>
          <w:t>Sugi</w:t>
        </w:r>
        <w:r w:rsidR="00C47FB4" w:rsidRPr="00067267">
          <w:rPr>
            <w:rStyle w:val="Hyperlink"/>
            <w:u w:val="none"/>
            <w:lang w:val="en-US"/>
          </w:rPr>
          <w:t>y</w:t>
        </w:r>
        <w:r w:rsidRPr="00067267">
          <w:rPr>
            <w:rStyle w:val="Hyperlink"/>
            <w:u w:val="none"/>
            <w:lang w:val="en-US"/>
          </w:rPr>
          <w:t>ono, 2004</w:t>
        </w:r>
      </w:hyperlink>
      <w:r w:rsidRPr="00067267">
        <w:rPr>
          <w:lang w:val="en-US"/>
        </w:rPr>
        <w:t>)</w:t>
      </w:r>
      <w:r w:rsidRPr="00067267">
        <w:rPr>
          <w:lang w:val="en"/>
        </w:rPr>
        <w:fldChar w:fldCharType="end"/>
      </w:r>
      <w:r w:rsidRPr="00067267">
        <w:rPr>
          <w:lang w:val="en-US"/>
        </w:rPr>
        <w:t xml:space="preserve">, first stage that the moderating variable is significant with the independent variable. Result show on table 10 that the interaction has a significance with level of 0.003 smaller than 0.05 (sig. &lt;0.05). The second stages can be identification is indicated by the relationship between the moderating variables with the independent and dependent variables </w:t>
      </w:r>
      <w:r w:rsidR="00C47FB4" w:rsidRPr="00067267">
        <w:rPr>
          <w:lang w:val="en-US"/>
        </w:rPr>
        <w:t xml:space="preserve">and result show on </w:t>
      </w:r>
      <w:hyperlink w:anchor="_Table_6._" w:history="1">
        <w:r w:rsidR="00C47FB4" w:rsidRPr="00067267">
          <w:rPr>
            <w:rStyle w:val="Hyperlink"/>
            <w:u w:val="none"/>
            <w:lang w:val="en-US"/>
          </w:rPr>
          <w:t>T</w:t>
        </w:r>
        <w:r w:rsidR="003E3538" w:rsidRPr="00067267">
          <w:rPr>
            <w:rStyle w:val="Hyperlink"/>
            <w:u w:val="none"/>
            <w:lang w:val="en-US"/>
          </w:rPr>
          <w:t>able</w:t>
        </w:r>
        <w:r w:rsidR="00C47FB4" w:rsidRPr="00067267">
          <w:rPr>
            <w:rStyle w:val="Hyperlink"/>
            <w:u w:val="none"/>
            <w:lang w:val="en-US"/>
          </w:rPr>
          <w:t xml:space="preserve"> 6.</w:t>
        </w:r>
      </w:hyperlink>
      <w:r w:rsidR="003E3538" w:rsidRPr="00067267">
        <w:rPr>
          <w:lang w:val="en-US"/>
        </w:rPr>
        <w:t xml:space="preserve"> that</w:t>
      </w:r>
      <w:r w:rsidRPr="00067267">
        <w:rPr>
          <w:lang w:val="en-US"/>
        </w:rPr>
        <w:t xml:space="preserve"> sig. values. 0.013 &lt;sig.0.05, thus, hypothesis 6 is accepted. It means the integration of technology industry 4.0 can moderate with strong moderation between fraud triangle simultaneously on fraudulent financial reporting. </w:t>
      </w:r>
    </w:p>
    <w:p w:rsidR="00D67690" w:rsidRPr="00067267" w:rsidRDefault="003B6666" w:rsidP="003B6666">
      <w:pPr>
        <w:spacing w:after="0"/>
        <w:ind w:firstLine="720"/>
        <w:jc w:val="both"/>
        <w:rPr>
          <w:lang w:val="en-US"/>
        </w:rPr>
      </w:pPr>
      <w:r w:rsidRPr="00067267">
        <w:rPr>
          <w:lang w:val="en"/>
        </w:rPr>
        <w:t>Based on the analysis results, the integration of industrial technology 4.0 can strengthen the fraud triangle element simultaneously on fraudulent financial statements. This can be explained from several perspectives. First, the implementation of the industrial revolution 4.0 depends on the level of company’s innovation. Laggards is the group of workers that has the highest pressure. The pressure faced is a rejection of culture change which can be fraud occurs. Each implementation of a new technology increases the pressure on workers</w:t>
      </w:r>
      <w:r w:rsidRPr="00067267">
        <w:rPr>
          <w:lang w:val="en-US"/>
        </w:rPr>
        <w:t xml:space="preserve"> </w:t>
      </w:r>
      <w:r w:rsidRPr="00067267">
        <w:rPr>
          <w:lang w:val="en-US"/>
        </w:rPr>
        <w:fldChar w:fldCharType="begin" w:fldLock="1"/>
      </w:r>
      <w:r w:rsidRPr="00067267">
        <w:rPr>
          <w:lang w:val="en-US"/>
        </w:rPr>
        <w:instrText>ADDIN CSL_CITATION {"citationItems":[{"id":"ITEM-1","itemData":{"DOI":"10.1111/j.1464-0597.1995.tb01070.x","ISSN":"0269-994X","abstract":"Used a partly longitudinal design to examine the effects of work with new technologies (NTs) on psychosomatic complaints and job satisfaction. Attention was focused on the influences of the work situation (job contents, employee participation), on attitudes and individual differences. Data were gathered from 171 employees of 7 companies at 2 mo before and 12 mo after the conversion to NTs, and Ss' job contents and employee participation were also measured. NTs increased psychosomatic complaints and changed job satisfaction, with the degree of change depending on job contents, level of employee participation, and gender. Job satisfaction increased if the work with NTs was diversified and called for high qualifications, but tended to decrease for persons with low qualifications doing menial, monotonous work at visual display units. Effects of work with NTs were also interrelated with attitudes and individual differences. (French abstract) (PsycINFO Database Record (c) 2016 APA, all rights reserved)","author":[{"dropping-particle":"","family":"Korunka","given":"Christian","non-dropping-particle":"","parse-names":false,"suffix":""},{"dropping-particle":"","family":"Weiss","given":"Andreas","non-dropping-particle":"","parse-names":false,"suffix":""},{"dropping-particle":"","family":"Huemer","given":"Karl-Heinz","non-dropping-particle":"","parse-names":false,"suffix":""},{"dropping-particle":"","family":"Karetta","given":"Bernd","non-dropping-particle":"","parse-names":false,"suffix":""}],"container-title":"Applied Psychology","id":"ITEM-1","issued":{"date-parts":[["1995"]]},"page":"331-348","title":"The Effect of New Technologies on Job Satisfaction and Psychosomatic Complaints","type":"article-journal","volume":"14"},"uris":["http://www.mendeley.com/documents/?uuid=58886d84-b863-4b5f-b780-152ce792f9d3"]}],"mendeley":{"formattedCitation":"(Korunka, Weiss, Huemer, &amp; Karetta, 1995)","manualFormatting":"(Korunka, et al, 1995). ","plainTextFormattedCitation":"(Korunka, Weiss, Huemer, &amp; Karetta, 1995)","previouslyFormattedCitation":"(Korunka, Weiss, Huemer, &amp; Karetta, 1995)"},"properties":{"noteIndex":0},"schema":"https://github.com/citation-style-language/schema/raw/master/csl-citation.json"}</w:instrText>
      </w:r>
      <w:r w:rsidRPr="00067267">
        <w:rPr>
          <w:lang w:val="en-US"/>
        </w:rPr>
        <w:fldChar w:fldCharType="separate"/>
      </w:r>
      <w:r w:rsidR="00C47FB4" w:rsidRPr="00067267">
        <w:rPr>
          <w:lang w:val="en-US"/>
        </w:rPr>
        <w:t>(</w:t>
      </w:r>
      <w:hyperlink w:anchor="_References_1" w:history="1">
        <w:r w:rsidR="00C47FB4" w:rsidRPr="00067267">
          <w:rPr>
            <w:rStyle w:val="Hyperlink"/>
            <w:u w:val="none"/>
            <w:lang w:val="en-US"/>
          </w:rPr>
          <w:t>Korunka et al.</w:t>
        </w:r>
        <w:r w:rsidRPr="00067267">
          <w:rPr>
            <w:rStyle w:val="Hyperlink"/>
            <w:u w:val="none"/>
            <w:lang w:val="en-US"/>
          </w:rPr>
          <w:t xml:space="preserve"> 1995</w:t>
        </w:r>
      </w:hyperlink>
      <w:r w:rsidRPr="00067267">
        <w:rPr>
          <w:lang w:val="en-US"/>
        </w:rPr>
        <w:t xml:space="preserve">). </w:t>
      </w:r>
      <w:r w:rsidRPr="00067267">
        <w:rPr>
          <w:lang w:val="en"/>
        </w:rPr>
        <w:fldChar w:fldCharType="end"/>
      </w:r>
      <w:r w:rsidRPr="00067267">
        <w:rPr>
          <w:lang w:val="en"/>
        </w:rPr>
        <w:t xml:space="preserve">Second, referring to the planned behavior theory that a person's behavior is influenced by intention. Regarding technology, a person's intention to commit technology-based fraud is highly dependent on his attitude towards fraudulent behavior, subjective norms and control over behavior. The trigger factors for intention are opportunity and rationalization. Third, referring to the crime triangle theory, which states that criminal events occur due to environmental conditions. The environmental conditions in the 4.0 industrial revolution were transformative, which in some ways had vulnerabilities or potentials that could be abused. So that fraud will be more prone to occur if the perpetrator has a certain motive, the desired target and there is no party or system that is able to prevent it. So, in the case of a transformative environment, namely technology industry, it is necessary to identify fraud channels or gaps that are still vulnerable to being exploited by actors so that fraud can be anticipated and reduced. </w:t>
      </w:r>
      <w:r w:rsidRPr="00067267">
        <w:rPr>
          <w:lang w:val="en-US"/>
        </w:rPr>
        <w:t xml:space="preserve">This study supports the research of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{"citationItems":[{"id":"ITEM-1","itemData":{"author":[{"dropping-particle":"","family":"Bambang","given":"leo handoko","non-dropping-particle":"","parse-names":false,"suffix":""}],"container-title":"International journal of innovative Technology and Exploring Engineering","id":"ITEM-1","issue":"3","issued":{"date-parts":[["2020"]]},"title":"Big Data in Auditing for the Future of Data Driven Fraud Detection","type":"article-journal","volume":"9"},"uris":["http://www.mendeley.com/documents/?uuid=5aeff8bd-1452-44e0-ae84-c26ac78b6fde"]}],"mendeley":{"formattedCitation":"(Bambang, 2020)","manualFormatting":"Bambang, (2020)","plainTextFormattedCitation":"(Bambang, 2020)","previouslyFormattedCitation":"(Bambang, 2020)"},"properties":{"noteIndex":0},"schema":"https://github.com/citation-style-language/schema/raw/master/csl-citation.json"}</w:instrText>
        </w:r>
        <w:r w:rsidRPr="00067267">
          <w:rPr>
            <w:rStyle w:val="Hyperlink"/>
            <w:u w:val="none"/>
            <w:lang w:val="en-US"/>
          </w:rPr>
          <w:fldChar w:fldCharType="separate"/>
        </w:r>
        <w:r w:rsidR="00C47FB4" w:rsidRPr="00067267">
          <w:rPr>
            <w:rStyle w:val="Hyperlink"/>
            <w:u w:val="none"/>
            <w:lang w:val="en-US"/>
          </w:rPr>
          <w:t>Handoko et al.</w:t>
        </w:r>
        <w:r w:rsidRPr="00067267">
          <w:rPr>
            <w:rStyle w:val="Hyperlink"/>
            <w:u w:val="none"/>
            <w:lang w:val="en-US"/>
          </w:rPr>
          <w:t xml:space="preserve"> (2020)</w:t>
        </w:r>
        <w:r w:rsidRPr="00067267">
          <w:rPr>
            <w:rStyle w:val="Hyperlink"/>
            <w:u w:val="none"/>
            <w:lang w:val="en"/>
          </w:rPr>
          <w:fldChar w:fldCharType="end"/>
        </w:r>
      </w:hyperlink>
      <w:r w:rsidRPr="00067267">
        <w:rPr>
          <w:lang w:val="en-US"/>
        </w:rPr>
        <w:t xml:space="preserve"> and </w:t>
      </w:r>
      <w:hyperlink w:anchor="_References_1" w:history="1">
        <w:r w:rsidRPr="00067267">
          <w:rPr>
            <w:rStyle w:val="Hyperlink"/>
            <w:u w:val="none"/>
            <w:lang w:val="en-US"/>
          </w:rPr>
          <w:fldChar w:fldCharType="begin" w:fldLock="1"/>
        </w:r>
        <w:r w:rsidRPr="00067267">
          <w:rPr>
            <w:rStyle w:val="Hyperlink"/>
            <w:u w:val="none"/>
            <w:lang w:val="en-US"/>
          </w:rPr>
          <w:instrText>ADDIN CSL_CITATION {"citationItems":[{"id":"ITEM-1","itemData":{"author":[{"dropping-particle":"","family":"KPMG","given":"","non-dropping-particle":"","parse-names":false,"suffix":""}],"id":"ITEM-1","issued":{"date-parts":[["2013"]]},"publisher-place":"UK","title":"Fraud increase 38% to over 0.5bn but real cost is human misery","type":"report"},"uris":["http://www.mendeley.com/documents/?uuid=ef46296e-92e9-4bc6-8f8e-734eb24c585e"]}],"mendeley":{"formattedCitation":"(KPMG, 2013)","manualFormatting":"KPMG, (2013)","plainTextFormattedCitation":"(KPMG, 2013)","previouslyFormattedCitation":"(KPMG, 2013)"},"properties":{"noteIndex":0},"schema":"https://github.com/citation-style-language/schema/raw/master/csl-citation.json"}</w:instrText>
        </w:r>
        <w:r w:rsidRPr="00067267">
          <w:rPr>
            <w:rStyle w:val="Hyperlink"/>
            <w:u w:val="none"/>
            <w:lang w:val="en-US"/>
          </w:rPr>
          <w:fldChar w:fldCharType="separate"/>
        </w:r>
        <w:r w:rsidR="00C47FB4" w:rsidRPr="00067267">
          <w:rPr>
            <w:rStyle w:val="Hyperlink"/>
            <w:u w:val="none"/>
            <w:lang w:val="en-US"/>
          </w:rPr>
          <w:t>KPMG</w:t>
        </w:r>
        <w:r w:rsidRPr="00067267">
          <w:rPr>
            <w:rStyle w:val="Hyperlink"/>
            <w:u w:val="none"/>
            <w:lang w:val="en-US"/>
          </w:rPr>
          <w:t xml:space="preserve"> (2013)</w:t>
        </w:r>
        <w:r w:rsidRPr="00067267">
          <w:rPr>
            <w:rStyle w:val="Hyperlink"/>
            <w:u w:val="none"/>
            <w:lang w:val="en"/>
          </w:rPr>
          <w:fldChar w:fldCharType="end"/>
        </w:r>
      </w:hyperlink>
      <w:r w:rsidRPr="00067267">
        <w:rPr>
          <w:lang w:val="en-US"/>
        </w:rPr>
        <w:t>.</w:t>
      </w:r>
    </w:p>
    <w:p w:rsidR="00D67690" w:rsidRPr="00067267" w:rsidRDefault="00D67690" w:rsidP="00413CC9">
      <w:pPr>
        <w:pStyle w:val="ListParagraph"/>
        <w:spacing w:after="0" w:line="240" w:lineRule="auto"/>
        <w:ind w:left="0"/>
        <w:contextualSpacing w:val="0"/>
        <w:rPr>
          <w:rFonts w:cs="Calibri"/>
          <w:b/>
          <w:sz w:val="28"/>
          <w:lang w:val="en-US"/>
        </w:rPr>
      </w:pPr>
    </w:p>
    <w:p w:rsidR="00413CC9" w:rsidRPr="00067267" w:rsidRDefault="007D1ED6" w:rsidP="00413CC9">
      <w:pPr>
        <w:pStyle w:val="ListParagraph"/>
        <w:spacing w:after="0" w:line="240" w:lineRule="auto"/>
        <w:ind w:left="0"/>
        <w:contextualSpacing w:val="0"/>
        <w:rPr>
          <w:rFonts w:cs="Calibri"/>
          <w:i/>
          <w:sz w:val="28"/>
          <w:szCs w:val="28"/>
        </w:rPr>
      </w:pPr>
      <w:r w:rsidRPr="00067267">
        <w:rPr>
          <w:rFonts w:cs="Calibri"/>
          <w:b/>
          <w:sz w:val="28"/>
          <w:lang w:val="en-US"/>
        </w:rPr>
        <w:t>Conclusion</w:t>
      </w:r>
      <w:r w:rsidR="00555E3F" w:rsidRPr="00067267">
        <w:rPr>
          <w:rFonts w:cs="Calibri"/>
          <w:b/>
          <w:sz w:val="28"/>
          <w:lang w:val="en-US"/>
        </w:rPr>
        <w:t xml:space="preserve"> </w:t>
      </w:r>
    </w:p>
    <w:p w:rsidR="003B6666" w:rsidRPr="00067267" w:rsidRDefault="003B6666" w:rsidP="003B6666">
      <w:pPr>
        <w:spacing w:after="0" w:line="240" w:lineRule="auto"/>
        <w:jc w:val="both"/>
        <w:rPr>
          <w:rFonts w:cs="Calibri"/>
          <w:lang w:val="en"/>
        </w:rPr>
      </w:pPr>
      <w:r w:rsidRPr="00067267">
        <w:rPr>
          <w:rFonts w:cs="Calibri"/>
          <w:lang w:val="en-US"/>
        </w:rPr>
        <w:t xml:space="preserve">Based on results on this study, it can be concluded that </w:t>
      </w:r>
      <w:r w:rsidRPr="00067267">
        <w:rPr>
          <w:rFonts w:cs="Calibri"/>
          <w:lang w:val="en"/>
        </w:rPr>
        <w:t xml:space="preserve">financial stability has not significant on fraudulent financial statements. There are other causes that become a counter factor for pressure, consist of corporate culture, commitment to survive and the ability to manage pressure. External pressure is not significant on fraudulent financial statement due to sufficient liquidity, good forecast management and productive debt. Financial targets have no significant on fraudulent financial statements due to the existence of an adequate internal control system and a positive culture so that high targets do not trigger fraud. Effective monitoring has a negative significant on fraudulent financial statements because the more effective supervision of the board of commissioners, fraud can be minimized. Accruals have a positive significant on fraudulent </w:t>
      </w:r>
      <w:r w:rsidRPr="00067267">
        <w:rPr>
          <w:rFonts w:cs="Calibri"/>
          <w:lang w:val="en"/>
        </w:rPr>
        <w:lastRenderedPageBreak/>
        <w:t>financial statements, which means that when the company has a high accrual value, the probability of fraud is also high. The application of industrial technology integration is able to simultaneously moderate the effect of the fraud triangle variable on fraudulent financial statements. This is because the process of integration industrial technology 4.0 will increase the pressure on the work environment, open up the potential for cheating in the new system and reduce social relations that affect rationalization, which can fraud occurs.</w:t>
      </w:r>
    </w:p>
    <w:p w:rsidR="00DF6E96" w:rsidRPr="00067267" w:rsidRDefault="003B6666" w:rsidP="003B6666">
      <w:pPr>
        <w:spacing w:after="0" w:line="240" w:lineRule="auto"/>
        <w:ind w:firstLine="482"/>
        <w:jc w:val="both"/>
        <w:rPr>
          <w:rFonts w:cs="Calibri"/>
          <w:lang w:val="en-US"/>
        </w:rPr>
      </w:pPr>
      <w:r w:rsidRPr="00067267">
        <w:rPr>
          <w:rFonts w:cs="Calibri"/>
          <w:lang w:val="en-US"/>
        </w:rPr>
        <w:t>Suggestion for further research of this study for sample research was expanded not only making Indonesia 4.0 with 5 priority sectors but 10 sectors which are industrialized development sectors. Independent variables should be added such as personal financial need for pressure elements, nature of industry for opportunity elements and auditor switching for elements of rationalization so as to produce a model with better predictions than this research.</w:t>
      </w:r>
    </w:p>
    <w:p w:rsidR="00D67690" w:rsidRPr="00067267" w:rsidRDefault="00D67690" w:rsidP="00EC3E35">
      <w:pPr>
        <w:pStyle w:val="Heading1"/>
        <w:rPr>
          <w:rFonts w:cs="Calibri"/>
          <w:b w:val="0"/>
          <w:sz w:val="28"/>
          <w:szCs w:val="28"/>
          <w:lang w:val="en-US"/>
        </w:rPr>
      </w:pPr>
      <w:bookmarkStart w:id="6" w:name="_References"/>
      <w:bookmarkEnd w:id="6"/>
    </w:p>
    <w:p w:rsidR="0008700E" w:rsidRPr="00067267" w:rsidRDefault="00F72E7F" w:rsidP="00045F79">
      <w:pPr>
        <w:pStyle w:val="Heading1"/>
        <w:jc w:val="left"/>
        <w:rPr>
          <w:rFonts w:cs="Calibri"/>
          <w:sz w:val="28"/>
          <w:szCs w:val="28"/>
          <w:lang w:val="en-US"/>
        </w:rPr>
      </w:pPr>
      <w:bookmarkStart w:id="7" w:name="_References_1"/>
      <w:bookmarkEnd w:id="7"/>
      <w:r w:rsidRPr="00067267">
        <w:rPr>
          <w:rFonts w:cs="Calibri"/>
          <w:sz w:val="28"/>
          <w:szCs w:val="28"/>
          <w:lang w:val="en-US"/>
        </w:rPr>
        <w:t>References</w:t>
      </w:r>
    </w:p>
    <w:p w:rsidR="00C47FB4" w:rsidRPr="00067267" w:rsidRDefault="00C47FB4" w:rsidP="003042C6">
      <w:pPr>
        <w:widowControl w:val="0"/>
        <w:autoSpaceDE w:val="0"/>
        <w:autoSpaceDN w:val="0"/>
        <w:adjustRightInd w:val="0"/>
        <w:spacing w:after="0" w:line="240" w:lineRule="auto"/>
        <w:ind w:left="480" w:hanging="480"/>
        <w:rPr>
          <w:lang w:val="en-US"/>
        </w:rPr>
      </w:pPr>
      <w:r w:rsidRPr="00067267">
        <w:rPr>
          <w:lang w:val="en-US"/>
        </w:rPr>
        <w:t xml:space="preserve">ACFE. (2018). </w:t>
      </w:r>
      <w:r w:rsidRPr="00067267">
        <w:rPr>
          <w:i/>
          <w:iCs/>
          <w:lang w:val="en-US"/>
        </w:rPr>
        <w:t>Report to the nations 2018 : global study on occupational fraud and abuse. Asia Pacific edition</w:t>
      </w:r>
    </w:p>
    <w:p w:rsidR="000322CE" w:rsidRPr="00067267" w:rsidRDefault="00D338D4" w:rsidP="003042C6">
      <w:pPr>
        <w:widowControl w:val="0"/>
        <w:autoSpaceDE w:val="0"/>
        <w:autoSpaceDN w:val="0"/>
        <w:adjustRightInd w:val="0"/>
        <w:spacing w:after="0" w:line="240" w:lineRule="auto"/>
        <w:ind w:left="480" w:hanging="480"/>
        <w:rPr>
          <w:rFonts w:cs="Calibri"/>
          <w:noProof/>
          <w:szCs w:val="24"/>
        </w:rPr>
      </w:pPr>
      <w:r w:rsidRPr="00067267">
        <w:rPr>
          <w:lang w:val="en-US"/>
        </w:rPr>
        <w:fldChar w:fldCharType="begin" w:fldLock="1"/>
      </w:r>
      <w:r w:rsidRPr="00067267">
        <w:rPr>
          <w:lang w:val="en-US"/>
        </w:rPr>
        <w:instrText xml:space="preserve">ADDIN Mendeley Bibliography CSL_BIBLIOGRAPHY </w:instrText>
      </w:r>
      <w:r w:rsidRPr="00067267">
        <w:rPr>
          <w:lang w:val="en-US"/>
        </w:rPr>
        <w:fldChar w:fldCharType="separate"/>
      </w:r>
      <w:hyperlink r:id="rId10" w:history="1">
        <w:r w:rsidR="000322CE" w:rsidRPr="00067267">
          <w:rPr>
            <w:rStyle w:val="Hyperlink"/>
            <w:rFonts w:cs="Calibri"/>
            <w:noProof/>
            <w:szCs w:val="24"/>
            <w:u w:val="none"/>
          </w:rPr>
          <w:t xml:space="preserve">Acharya, V. V., &amp; Viswanathan, S. (2011). Leverage, Moral Hazard, and Liquidity. </w:t>
        </w:r>
        <w:r w:rsidR="000322CE" w:rsidRPr="00067267">
          <w:rPr>
            <w:rStyle w:val="Hyperlink"/>
            <w:rFonts w:cs="Calibri"/>
            <w:i/>
            <w:iCs/>
            <w:noProof/>
            <w:szCs w:val="24"/>
            <w:u w:val="none"/>
          </w:rPr>
          <w:t>Journal of Finance</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66</w:t>
        </w:r>
        <w:r w:rsidR="000322CE" w:rsidRPr="00067267">
          <w:rPr>
            <w:rStyle w:val="Hyperlink"/>
            <w:rFonts w:cs="Calibri"/>
            <w:noProof/>
            <w:szCs w:val="24"/>
            <w:u w:val="none"/>
          </w:rPr>
          <w:t>(1), 99–138. https://doi.org/10.1111/j.1540-6261.2010.01627.x</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11" w:history="1">
        <w:r w:rsidR="000322CE" w:rsidRPr="00067267">
          <w:rPr>
            <w:rStyle w:val="Hyperlink"/>
            <w:rFonts w:cs="Calibri"/>
            <w:noProof/>
            <w:szCs w:val="24"/>
            <w:u w:val="none"/>
          </w:rPr>
          <w:t xml:space="preserve">Aprilia, &amp; Sergius. (2015). The effectibeness of fraud triangle on detecting fraudulent financial statements : using Benesih model and the case of special companies. </w:t>
        </w:r>
        <w:r w:rsidR="000322CE" w:rsidRPr="00067267">
          <w:rPr>
            <w:rStyle w:val="Hyperlink"/>
            <w:rFonts w:cs="Calibri"/>
            <w:i/>
            <w:iCs/>
            <w:noProof/>
            <w:szCs w:val="24"/>
            <w:u w:val="none"/>
          </w:rPr>
          <w:t>Riset Akuntansi Dan Keuangan</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3</w:t>
        </w:r>
        <w:r w:rsidR="000322CE" w:rsidRPr="00067267">
          <w:rPr>
            <w:rStyle w:val="Hyperlink"/>
            <w:rFonts w:cs="Calibri"/>
            <w:noProof/>
            <w:szCs w:val="24"/>
            <w:u w:val="none"/>
          </w:rPr>
          <w:t>(3), 786–800. https://doi.org/10.17509/jrak.v3i3.6621</w:t>
        </w:r>
      </w:hyperlink>
    </w:p>
    <w:p w:rsidR="00C47FB4" w:rsidRPr="00067267" w:rsidRDefault="00C47FB4" w:rsidP="00C47FB4">
      <w:pPr>
        <w:widowControl w:val="0"/>
        <w:autoSpaceDE w:val="0"/>
        <w:autoSpaceDN w:val="0"/>
        <w:adjustRightInd w:val="0"/>
        <w:spacing w:after="0" w:line="240" w:lineRule="auto"/>
        <w:ind w:left="480" w:hanging="480"/>
        <w:rPr>
          <w:rFonts w:cs="Calibri"/>
          <w:noProof/>
          <w:szCs w:val="24"/>
        </w:rPr>
      </w:pPr>
      <w:hyperlink r:id="rId12" w:history="1">
        <w:r w:rsidRPr="00067267">
          <w:rPr>
            <w:rStyle w:val="Hyperlink"/>
            <w:rFonts w:cs="Calibri"/>
            <w:noProof/>
            <w:szCs w:val="24"/>
            <w:u w:val="none"/>
          </w:rPr>
          <w:t xml:space="preserve">Beasley, M. S., Carcello, J. V., Hermanson, D. R., &amp; Lapides, P. D. (2000). Fraudulent financial reporting: Consideration of industry traits and corporate governance mechanisms. </w:t>
        </w:r>
        <w:r w:rsidRPr="00067267">
          <w:rPr>
            <w:rStyle w:val="Hyperlink"/>
            <w:rFonts w:cs="Calibri"/>
            <w:i/>
            <w:iCs/>
            <w:noProof/>
            <w:szCs w:val="24"/>
            <w:u w:val="none"/>
          </w:rPr>
          <w:t>Accounting Horizons</w:t>
        </w:r>
        <w:r w:rsidRPr="00067267">
          <w:rPr>
            <w:rStyle w:val="Hyperlink"/>
            <w:rFonts w:cs="Calibri"/>
            <w:noProof/>
            <w:szCs w:val="24"/>
            <w:u w:val="none"/>
          </w:rPr>
          <w:t xml:space="preserve">, </w:t>
        </w:r>
        <w:r w:rsidRPr="00067267">
          <w:rPr>
            <w:rStyle w:val="Hyperlink"/>
            <w:rFonts w:cs="Calibri"/>
            <w:i/>
            <w:iCs/>
            <w:noProof/>
            <w:szCs w:val="24"/>
            <w:u w:val="none"/>
          </w:rPr>
          <w:t>14</w:t>
        </w:r>
        <w:r w:rsidRPr="00067267">
          <w:rPr>
            <w:rStyle w:val="Hyperlink"/>
            <w:rFonts w:cs="Calibri"/>
            <w:noProof/>
            <w:szCs w:val="24"/>
            <w:u w:val="none"/>
          </w:rPr>
          <w:t>(4), 441–454.</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13" w:history="1">
        <w:r w:rsidR="000322CE" w:rsidRPr="00067267">
          <w:rPr>
            <w:rStyle w:val="Hyperlink"/>
            <w:rFonts w:cs="Calibri"/>
            <w:noProof/>
            <w:szCs w:val="24"/>
            <w:u w:val="none"/>
          </w:rPr>
          <w:t xml:space="preserve">Beneish, M. D. (1997). Detecting GAAP violation: Implications for assessing earnings management among firms with extreme financial performance. </w:t>
        </w:r>
        <w:r w:rsidR="000322CE" w:rsidRPr="00067267">
          <w:rPr>
            <w:rStyle w:val="Hyperlink"/>
            <w:rFonts w:cs="Calibri"/>
            <w:i/>
            <w:iCs/>
            <w:noProof/>
            <w:szCs w:val="24"/>
            <w:u w:val="none"/>
          </w:rPr>
          <w:t>Journal of Accounting and Public Policy</w:t>
        </w:r>
        <w:r w:rsidR="000322CE" w:rsidRPr="00067267">
          <w:rPr>
            <w:rStyle w:val="Hyperlink"/>
            <w:rFonts w:cs="Calibri"/>
            <w:noProof/>
            <w:szCs w:val="24"/>
            <w:u w:val="none"/>
          </w:rPr>
          <w:t>. https://doi.org/10.1016/S0278-4254(97)00023-9</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14" w:history="1">
        <w:r w:rsidR="000322CE" w:rsidRPr="00067267">
          <w:rPr>
            <w:rStyle w:val="Hyperlink"/>
            <w:rFonts w:cs="Calibri"/>
            <w:noProof/>
            <w:szCs w:val="24"/>
            <w:u w:val="none"/>
          </w:rPr>
          <w:t xml:space="preserve">Beneish, M., Lee, C. M. C., &amp; Nichols, D. C. (2012). Fraud Detection and Expected Returns. </w:t>
        </w:r>
        <w:r w:rsidR="000322CE" w:rsidRPr="00067267">
          <w:rPr>
            <w:rStyle w:val="Hyperlink"/>
            <w:rFonts w:cs="Calibri"/>
            <w:i/>
            <w:iCs/>
            <w:noProof/>
            <w:szCs w:val="24"/>
            <w:u w:val="none"/>
          </w:rPr>
          <w:t>SSRN Electronic Journal</w:t>
        </w:r>
        <w:r w:rsidR="000322CE" w:rsidRPr="00067267">
          <w:rPr>
            <w:rStyle w:val="Hyperlink"/>
            <w:rFonts w:cs="Calibri"/>
            <w:noProof/>
            <w:szCs w:val="24"/>
            <w:u w:val="none"/>
          </w:rPr>
          <w:t>. https://doi.org/10.2139/ssrn.1998387</w:t>
        </w:r>
      </w:hyperlink>
    </w:p>
    <w:p w:rsidR="00C47FB4" w:rsidRPr="00067267" w:rsidRDefault="00C47FB4" w:rsidP="00C47FB4">
      <w:pPr>
        <w:widowControl w:val="0"/>
        <w:autoSpaceDE w:val="0"/>
        <w:autoSpaceDN w:val="0"/>
        <w:adjustRightInd w:val="0"/>
        <w:spacing w:after="0" w:line="240" w:lineRule="auto"/>
        <w:ind w:left="480" w:hanging="480"/>
        <w:rPr>
          <w:rFonts w:cs="Calibri"/>
          <w:noProof/>
          <w:color w:val="0563C1"/>
          <w:szCs w:val="24"/>
          <w:lang w:val="en-US"/>
        </w:rPr>
      </w:pPr>
      <w:hyperlink r:id="rId15" w:history="1">
        <w:r w:rsidRPr="00067267">
          <w:rPr>
            <w:rStyle w:val="Hyperlink"/>
            <w:rFonts w:cs="Calibri"/>
            <w:noProof/>
            <w:szCs w:val="24"/>
            <w:u w:val="none"/>
            <w:lang w:val="en-US"/>
          </w:rPr>
          <w:t xml:space="preserve">Chivers, H., Clark, J. A., Nobles, P., Shaikh, S. A., &amp; Chen, H. (2013). Knowing who to watch: Identifying attackers whose actions are hidden within false alarms and background noise. </w:t>
        </w:r>
        <w:r w:rsidRPr="00067267">
          <w:rPr>
            <w:rStyle w:val="Hyperlink"/>
            <w:rFonts w:cs="Calibri"/>
            <w:i/>
            <w:iCs/>
            <w:noProof/>
            <w:szCs w:val="24"/>
            <w:u w:val="none"/>
            <w:lang w:val="en-US"/>
          </w:rPr>
          <w:t>Information Systems Frontiers</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15</w:t>
        </w:r>
        <w:r w:rsidRPr="00067267">
          <w:rPr>
            <w:rStyle w:val="Hyperlink"/>
            <w:rFonts w:cs="Calibri"/>
            <w:noProof/>
            <w:szCs w:val="24"/>
            <w:u w:val="none"/>
            <w:lang w:val="en-US"/>
          </w:rPr>
          <w:t>(1), 17–34. https://doi.org/10.1007/s10796-010-9268-7</w:t>
        </w:r>
      </w:hyperlink>
    </w:p>
    <w:p w:rsidR="00C47FB4" w:rsidRPr="00067267" w:rsidRDefault="00E15E33" w:rsidP="00C47FB4">
      <w:pPr>
        <w:widowControl w:val="0"/>
        <w:autoSpaceDE w:val="0"/>
        <w:autoSpaceDN w:val="0"/>
        <w:adjustRightInd w:val="0"/>
        <w:spacing w:after="0" w:line="240" w:lineRule="auto"/>
        <w:ind w:left="480" w:hanging="480"/>
        <w:rPr>
          <w:rFonts w:cs="Calibri"/>
          <w:noProof/>
          <w:color w:val="000000" w:themeColor="text1"/>
          <w:szCs w:val="24"/>
        </w:rPr>
      </w:pPr>
      <w:r w:rsidRPr="00067267">
        <w:rPr>
          <w:rFonts w:cs="Calibri"/>
          <w:noProof/>
          <w:color w:val="000000" w:themeColor="text1"/>
          <w:szCs w:val="24"/>
        </w:rPr>
        <w:t>Christensen, C.</w:t>
      </w:r>
      <w:r w:rsidR="00C47FB4" w:rsidRPr="00067267">
        <w:rPr>
          <w:rFonts w:cs="Calibri"/>
          <w:noProof/>
          <w:color w:val="000000" w:themeColor="text1"/>
          <w:szCs w:val="24"/>
        </w:rPr>
        <w:t xml:space="preserve"> (1997). </w:t>
      </w:r>
      <w:r w:rsidR="00C47FB4" w:rsidRPr="00067267">
        <w:rPr>
          <w:rFonts w:cs="Calibri"/>
          <w:i/>
          <w:noProof/>
          <w:color w:val="000000" w:themeColor="text1"/>
          <w:szCs w:val="24"/>
        </w:rPr>
        <w:t>The Innovator’s Dilemma</w:t>
      </w:r>
      <w:r w:rsidR="00C47FB4" w:rsidRPr="00067267">
        <w:rPr>
          <w:rFonts w:cs="Calibri"/>
          <w:noProof/>
          <w:color w:val="000000" w:themeColor="text1"/>
          <w:szCs w:val="24"/>
        </w:rPr>
        <w:t>. Boston: Harvard Business School Press.</w:t>
      </w:r>
    </w:p>
    <w:p w:rsidR="00C47FB4" w:rsidRPr="00067267" w:rsidRDefault="00E15E33" w:rsidP="00C47FB4">
      <w:pPr>
        <w:widowControl w:val="0"/>
        <w:autoSpaceDE w:val="0"/>
        <w:autoSpaceDN w:val="0"/>
        <w:adjustRightInd w:val="0"/>
        <w:spacing w:after="0" w:line="240" w:lineRule="auto"/>
        <w:ind w:left="480" w:hanging="480"/>
        <w:rPr>
          <w:rFonts w:cs="Calibri"/>
          <w:noProof/>
          <w:color w:val="0563C1"/>
          <w:szCs w:val="24"/>
          <w:lang w:val="en-US"/>
        </w:rPr>
      </w:pPr>
      <w:hyperlink r:id="rId16" w:history="1">
        <w:r w:rsidRPr="00067267">
          <w:rPr>
            <w:rStyle w:val="Hyperlink"/>
            <w:rFonts w:cs="Calibri"/>
            <w:noProof/>
            <w:szCs w:val="24"/>
            <w:u w:val="none"/>
            <w:lang w:val="en-US"/>
          </w:rPr>
          <w:t>Cohen, L. E., &amp; Felson, M. (1979). Social Change and Crime Rate Trends: A Routine Activity Approach. American Sociological Review, 44(4), 588-608. https://doi.org/10.2307/2094589</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17" w:history="1">
        <w:r w:rsidR="000322CE" w:rsidRPr="00067267">
          <w:rPr>
            <w:rStyle w:val="Hyperlink"/>
            <w:rFonts w:cs="Calibri"/>
            <w:noProof/>
            <w:szCs w:val="24"/>
            <w:u w:val="none"/>
          </w:rPr>
          <w:t xml:space="preserve">Coram, P., Ferguson, C., &amp; Moroney, R. (2008). Internal audit, alternative internal audit structures and the level of misappropriation of assets fraud. </w:t>
        </w:r>
        <w:r w:rsidR="000322CE" w:rsidRPr="00067267">
          <w:rPr>
            <w:rStyle w:val="Hyperlink"/>
            <w:rFonts w:cs="Calibri"/>
            <w:i/>
            <w:iCs/>
            <w:noProof/>
            <w:szCs w:val="24"/>
            <w:u w:val="none"/>
          </w:rPr>
          <w:t>Accounting and Finance</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48</w:t>
        </w:r>
        <w:r w:rsidR="000322CE" w:rsidRPr="00067267">
          <w:rPr>
            <w:rStyle w:val="Hyperlink"/>
            <w:rFonts w:cs="Calibri"/>
            <w:noProof/>
            <w:szCs w:val="24"/>
            <w:u w:val="none"/>
          </w:rPr>
          <w:t>(4), 543–559. https://doi.org/10.1111/j.1467-629X.2007.00247.x</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18" w:history="1">
        <w:r w:rsidR="00C47FB4" w:rsidRPr="00067267">
          <w:rPr>
            <w:rStyle w:val="Hyperlink"/>
            <w:rFonts w:cs="Calibri"/>
            <w:noProof/>
            <w:szCs w:val="24"/>
            <w:u w:val="none"/>
          </w:rPr>
          <w:t>C</w:t>
        </w:r>
        <w:r w:rsidR="00C47FB4" w:rsidRPr="00067267">
          <w:rPr>
            <w:rStyle w:val="Hyperlink"/>
            <w:rFonts w:cs="Calibri"/>
            <w:noProof/>
            <w:szCs w:val="24"/>
            <w:u w:val="none"/>
            <w:lang w:val="en-US"/>
          </w:rPr>
          <w:t>OSO</w:t>
        </w:r>
        <w:r w:rsidR="000322CE" w:rsidRPr="00067267">
          <w:rPr>
            <w:rStyle w:val="Hyperlink"/>
            <w:rFonts w:cs="Calibri"/>
            <w:noProof/>
            <w:szCs w:val="24"/>
            <w:u w:val="none"/>
          </w:rPr>
          <w:t xml:space="preserve"> (2013). Internal control - integrated framework: executive summary. In </w:t>
        </w:r>
        <w:r w:rsidR="000322CE" w:rsidRPr="00067267">
          <w:rPr>
            <w:rStyle w:val="Hyperlink"/>
            <w:rFonts w:cs="Calibri"/>
            <w:i/>
            <w:iCs/>
            <w:noProof/>
            <w:szCs w:val="24"/>
            <w:u w:val="none"/>
          </w:rPr>
          <w:t>New York</w:t>
        </w:r>
        <w:r w:rsidR="000322CE" w:rsidRPr="00067267">
          <w:rPr>
            <w:rStyle w:val="Hyperlink"/>
            <w:rFonts w:cs="Calibri"/>
            <w:noProof/>
            <w:szCs w:val="24"/>
            <w:u w:val="none"/>
          </w:rPr>
          <w:t>. https://doi.org/978-1-93735-239-4</w:t>
        </w:r>
      </w:hyperlink>
    </w:p>
    <w:p w:rsidR="000322CE" w:rsidRPr="00067267" w:rsidRDefault="000322CE" w:rsidP="003042C6">
      <w:pPr>
        <w:widowControl w:val="0"/>
        <w:autoSpaceDE w:val="0"/>
        <w:autoSpaceDN w:val="0"/>
        <w:adjustRightInd w:val="0"/>
        <w:spacing w:after="0" w:line="240" w:lineRule="auto"/>
        <w:ind w:left="480" w:hanging="480"/>
        <w:rPr>
          <w:rFonts w:cs="Calibri"/>
          <w:noProof/>
          <w:szCs w:val="24"/>
        </w:rPr>
      </w:pPr>
      <w:r w:rsidRPr="00067267">
        <w:rPr>
          <w:rFonts w:cs="Calibri"/>
          <w:noProof/>
          <w:szCs w:val="24"/>
        </w:rPr>
        <w:t xml:space="preserve">Cressey D.R. (1953). </w:t>
      </w:r>
      <w:r w:rsidRPr="00067267">
        <w:rPr>
          <w:rFonts w:cs="Calibri"/>
          <w:i/>
          <w:iCs/>
          <w:noProof/>
          <w:szCs w:val="24"/>
        </w:rPr>
        <w:t>Other People’s money : a study in the psychology of embezzlement illinois</w:t>
      </w:r>
      <w:r w:rsidRPr="00067267">
        <w:rPr>
          <w:rFonts w:cs="Calibri"/>
          <w:noProof/>
          <w:szCs w:val="24"/>
        </w:rPr>
        <w:t>. The Free Press.</w:t>
      </w:r>
    </w:p>
    <w:p w:rsidR="00E15E33" w:rsidRPr="00067267" w:rsidRDefault="00E15E33" w:rsidP="00E15E33">
      <w:pPr>
        <w:widowControl w:val="0"/>
        <w:autoSpaceDE w:val="0"/>
        <w:autoSpaceDN w:val="0"/>
        <w:adjustRightInd w:val="0"/>
        <w:spacing w:after="0" w:line="240" w:lineRule="auto"/>
        <w:ind w:left="480" w:hanging="480"/>
        <w:rPr>
          <w:rFonts w:cs="Calibri"/>
          <w:noProof/>
          <w:szCs w:val="24"/>
          <w:lang w:val="en-US"/>
        </w:rPr>
      </w:pPr>
      <w:hyperlink r:id="rId19" w:history="1">
        <w:r w:rsidRPr="00067267">
          <w:rPr>
            <w:rStyle w:val="Hyperlink"/>
            <w:rFonts w:cs="Calibri"/>
            <w:noProof/>
            <w:szCs w:val="24"/>
            <w:u w:val="none"/>
            <w:lang w:val="en-US"/>
          </w:rPr>
          <w:t xml:space="preserve">Crutchley, C. E., Jensen, M. R. H., &amp; Marshall, B. B. (2007). Climate for scandal: Corporate </w:t>
        </w:r>
        <w:r w:rsidRPr="00067267">
          <w:rPr>
            <w:rStyle w:val="Hyperlink"/>
            <w:rFonts w:cs="Calibri"/>
            <w:noProof/>
            <w:szCs w:val="24"/>
            <w:u w:val="none"/>
            <w:lang w:val="en-US"/>
          </w:rPr>
          <w:lastRenderedPageBreak/>
          <w:t xml:space="preserve">environments that contribute to accounting fraud. </w:t>
        </w:r>
        <w:r w:rsidRPr="00067267">
          <w:rPr>
            <w:rStyle w:val="Hyperlink"/>
            <w:rFonts w:cs="Calibri"/>
            <w:i/>
            <w:iCs/>
            <w:noProof/>
            <w:szCs w:val="24"/>
            <w:u w:val="none"/>
            <w:lang w:val="en-US"/>
          </w:rPr>
          <w:t>Financial Review</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42</w:t>
        </w:r>
        <w:r w:rsidRPr="00067267">
          <w:rPr>
            <w:rStyle w:val="Hyperlink"/>
            <w:rFonts w:cs="Calibri"/>
            <w:noProof/>
            <w:szCs w:val="24"/>
            <w:u w:val="none"/>
            <w:lang w:val="en-US"/>
          </w:rPr>
          <w:t>(1), 53–73. https://doi.org/10.1111/j.1540-6288.2007.00161.x</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20" w:history="1">
        <w:r w:rsidR="000322CE" w:rsidRPr="00067267">
          <w:rPr>
            <w:rStyle w:val="Hyperlink"/>
            <w:rFonts w:cs="Calibri"/>
            <w:noProof/>
            <w:szCs w:val="24"/>
            <w:u w:val="none"/>
          </w:rPr>
          <w:t xml:space="preserve">Dalenogare, L. S., Benitez, G. B., Ayala, N. F., &amp; Frank, A. G. (2018). The expected contribution of Industry 4.0 technologies for industrial performance. </w:t>
        </w:r>
        <w:r w:rsidR="000322CE" w:rsidRPr="00067267">
          <w:rPr>
            <w:rStyle w:val="Hyperlink"/>
            <w:rFonts w:cs="Calibri"/>
            <w:i/>
            <w:iCs/>
            <w:noProof/>
            <w:szCs w:val="24"/>
            <w:u w:val="none"/>
          </w:rPr>
          <w:t>International Journal Production Economic</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204</w:t>
        </w:r>
        <w:r w:rsidR="000322CE" w:rsidRPr="00067267">
          <w:rPr>
            <w:rStyle w:val="Hyperlink"/>
            <w:rFonts w:cs="Calibri"/>
            <w:noProof/>
            <w:szCs w:val="24"/>
            <w:u w:val="none"/>
          </w:rPr>
          <w:t>(October), 383–394. https://doi.org/10.1016/j.ijpe.2018.08.019</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21" w:history="1">
        <w:r w:rsidR="000322CE" w:rsidRPr="00067267">
          <w:rPr>
            <w:rStyle w:val="Hyperlink"/>
            <w:rFonts w:cs="Calibri"/>
            <w:noProof/>
            <w:szCs w:val="24"/>
            <w:u w:val="none"/>
          </w:rPr>
          <w:t xml:space="preserve">Darise, R. F. (2019). Detection of fraudulent financial statements using the Beneish ratio index for manufacturing companies listed on the Indonesia Stock Exchange in 2016 and 2017 period. </w:t>
        </w:r>
        <w:r w:rsidR="000322CE" w:rsidRPr="00067267">
          <w:rPr>
            <w:rStyle w:val="Hyperlink"/>
            <w:rFonts w:cs="Calibri"/>
            <w:i/>
            <w:iCs/>
            <w:noProof/>
            <w:szCs w:val="24"/>
            <w:u w:val="none"/>
          </w:rPr>
          <w:t>Accountability</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8</w:t>
        </w:r>
        <w:r w:rsidR="000322CE" w:rsidRPr="00067267">
          <w:rPr>
            <w:rStyle w:val="Hyperlink"/>
            <w:rFonts w:cs="Calibri"/>
            <w:noProof/>
            <w:szCs w:val="24"/>
            <w:u w:val="none"/>
          </w:rPr>
          <w:t>(2), 66–74. https://doi.org/10.32400/ja.24757.8.2.2019.66-74</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22" w:history="1">
        <w:r w:rsidR="000322CE" w:rsidRPr="00067267">
          <w:rPr>
            <w:rStyle w:val="Hyperlink"/>
            <w:rFonts w:cs="Calibri"/>
            <w:noProof/>
            <w:szCs w:val="24"/>
            <w:u w:val="none"/>
          </w:rPr>
          <w:t xml:space="preserve">Dechow, M. (1994). Accounting &amp; Economics The role of accounting accruals. </w:t>
        </w:r>
        <w:r w:rsidR="000322CE" w:rsidRPr="00067267">
          <w:rPr>
            <w:rStyle w:val="Hyperlink"/>
            <w:rFonts w:cs="Calibri"/>
            <w:i/>
            <w:iCs/>
            <w:noProof/>
            <w:szCs w:val="24"/>
            <w:u w:val="none"/>
          </w:rPr>
          <w:t>Journal of Accounting and Economics</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18</w:t>
        </w:r>
        <w:r w:rsidR="000322CE" w:rsidRPr="00067267">
          <w:rPr>
            <w:rStyle w:val="Hyperlink"/>
            <w:rFonts w:cs="Calibri"/>
            <w:noProof/>
            <w:szCs w:val="24"/>
            <w:u w:val="none"/>
          </w:rPr>
          <w:t>(1), 3–42. https://doi.org/10.1016/0165-4101(94)90016-7</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23" w:history="1">
        <w:r w:rsidR="000322CE" w:rsidRPr="00067267">
          <w:rPr>
            <w:rStyle w:val="Hyperlink"/>
            <w:rFonts w:cs="Calibri"/>
            <w:noProof/>
            <w:szCs w:val="24"/>
            <w:u w:val="none"/>
          </w:rPr>
          <w:t xml:space="preserve">Donald, I., Taylor, P., Johnson, S., Cooper, C., Cartwright, S., &amp; Robertson, S. (2005). Work environments, stress, and productivity: An examination using ASSET. </w:t>
        </w:r>
        <w:r w:rsidR="000322CE" w:rsidRPr="00067267">
          <w:rPr>
            <w:rStyle w:val="Hyperlink"/>
            <w:rFonts w:cs="Calibri"/>
            <w:i/>
            <w:iCs/>
            <w:noProof/>
            <w:szCs w:val="24"/>
            <w:u w:val="none"/>
          </w:rPr>
          <w:t>International Journal of Stress Management</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12</w:t>
        </w:r>
        <w:r w:rsidR="000322CE" w:rsidRPr="00067267">
          <w:rPr>
            <w:rStyle w:val="Hyperlink"/>
            <w:rFonts w:cs="Calibri"/>
            <w:noProof/>
            <w:szCs w:val="24"/>
            <w:u w:val="none"/>
          </w:rPr>
          <w:t>(4), 409–423. https://doi.org/10.1037/1072-5245.12.4.409</w:t>
        </w:r>
      </w:hyperlink>
    </w:p>
    <w:p w:rsidR="00E15E33" w:rsidRPr="00067267" w:rsidRDefault="00E15E33" w:rsidP="00E15E33">
      <w:pPr>
        <w:widowControl w:val="0"/>
        <w:autoSpaceDE w:val="0"/>
        <w:autoSpaceDN w:val="0"/>
        <w:adjustRightInd w:val="0"/>
        <w:spacing w:after="0" w:line="240" w:lineRule="auto"/>
        <w:ind w:left="480" w:hanging="480"/>
        <w:rPr>
          <w:rFonts w:cs="Calibri"/>
          <w:noProof/>
          <w:color w:val="0563C1"/>
          <w:szCs w:val="24"/>
          <w:lang w:val="en-US"/>
        </w:rPr>
      </w:pPr>
      <w:hyperlink r:id="rId24" w:history="1">
        <w:r w:rsidRPr="00067267">
          <w:rPr>
            <w:rStyle w:val="Hyperlink"/>
            <w:rFonts w:cs="Calibri"/>
            <w:noProof/>
            <w:szCs w:val="24"/>
            <w:u w:val="none"/>
            <w:lang w:val="en-US"/>
          </w:rPr>
          <w:t xml:space="preserve">Dorminey, J., Scott Fleming, A., Kranacher, M. J., &amp; Riley, R. A. (2012). The evolution of fraud theory. </w:t>
        </w:r>
        <w:r w:rsidRPr="00067267">
          <w:rPr>
            <w:rStyle w:val="Hyperlink"/>
            <w:rFonts w:cs="Calibri"/>
            <w:i/>
            <w:iCs/>
            <w:noProof/>
            <w:szCs w:val="24"/>
            <w:u w:val="none"/>
            <w:lang w:val="en-US"/>
          </w:rPr>
          <w:t>Issues in Accounting Education</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27</w:t>
        </w:r>
        <w:r w:rsidRPr="00067267">
          <w:rPr>
            <w:rStyle w:val="Hyperlink"/>
            <w:rFonts w:cs="Calibri"/>
            <w:noProof/>
            <w:szCs w:val="24"/>
            <w:u w:val="none"/>
            <w:lang w:val="en-US"/>
          </w:rPr>
          <w:t>(2), 555–579. https://doi.org/10.2308/iace-50131</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25" w:history="1">
        <w:r w:rsidR="00800773" w:rsidRPr="00067267">
          <w:rPr>
            <w:rStyle w:val="Hyperlink"/>
            <w:rFonts w:cs="Calibri"/>
            <w:noProof/>
            <w:szCs w:val="24"/>
            <w:u w:val="none"/>
          </w:rPr>
          <w:t xml:space="preserve">Flemming R, &amp; Baum. (1984). </w:t>
        </w:r>
        <w:r w:rsidR="000322CE" w:rsidRPr="00067267">
          <w:rPr>
            <w:rStyle w:val="Hyperlink"/>
            <w:rFonts w:cs="Calibri"/>
            <w:noProof/>
            <w:szCs w:val="24"/>
            <w:u w:val="none"/>
          </w:rPr>
          <w:t>Unemployment Stress</w:t>
        </w:r>
        <w:r w:rsidR="00800773" w:rsidRPr="00067267">
          <w:rPr>
            <w:rStyle w:val="Hyperlink"/>
            <w:rFonts w:cs="Calibri"/>
            <w:noProof/>
            <w:szCs w:val="24"/>
            <w:u w:val="none"/>
            <w:lang w:val="en-US"/>
          </w:rPr>
          <w:t xml:space="preserve"> </w:t>
        </w:r>
        <w:r w:rsidR="000322CE" w:rsidRPr="00067267">
          <w:rPr>
            <w:rStyle w:val="Hyperlink"/>
            <w:rFonts w:cs="Calibri"/>
            <w:noProof/>
            <w:szCs w:val="24"/>
            <w:u w:val="none"/>
          </w:rPr>
          <w:t xml:space="preserve">Behavioral and Biochemical Effects of Job. </w:t>
        </w:r>
        <w:r w:rsidR="000322CE" w:rsidRPr="00067267">
          <w:rPr>
            <w:rStyle w:val="Hyperlink"/>
            <w:rFonts w:cs="Calibri"/>
            <w:i/>
            <w:iCs/>
            <w:noProof/>
            <w:szCs w:val="24"/>
            <w:u w:val="none"/>
          </w:rPr>
          <w:t>Human Stress</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10</w:t>
        </w:r>
        <w:r w:rsidR="000322CE" w:rsidRPr="00067267">
          <w:rPr>
            <w:rStyle w:val="Hyperlink"/>
            <w:rFonts w:cs="Calibri"/>
            <w:noProof/>
            <w:szCs w:val="24"/>
            <w:u w:val="none"/>
          </w:rPr>
          <w:t>(1), 12–17. https://doi.org/10.1080/0097840x.1984.9934954</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26" w:history="1">
        <w:r w:rsidR="000322CE" w:rsidRPr="00067267">
          <w:rPr>
            <w:rStyle w:val="Hyperlink"/>
            <w:rFonts w:cs="Calibri"/>
            <w:noProof/>
            <w:szCs w:val="24"/>
            <w:u w:val="none"/>
          </w:rPr>
          <w:t xml:space="preserve">Germán, A., &amp; Dalenogare, L. S. (2019). Industry 4.0 technologies: Implementation patterns in manufacturing companies. </w:t>
        </w:r>
        <w:r w:rsidR="000322CE" w:rsidRPr="00067267">
          <w:rPr>
            <w:rStyle w:val="Hyperlink"/>
            <w:rFonts w:cs="Calibri"/>
            <w:i/>
            <w:iCs/>
            <w:noProof/>
            <w:szCs w:val="24"/>
            <w:u w:val="none"/>
          </w:rPr>
          <w:t>International Journal of Production Economics</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210</w:t>
        </w:r>
        <w:r w:rsidR="000322CE" w:rsidRPr="00067267">
          <w:rPr>
            <w:rStyle w:val="Hyperlink"/>
            <w:rFonts w:cs="Calibri"/>
            <w:noProof/>
            <w:szCs w:val="24"/>
            <w:u w:val="none"/>
          </w:rPr>
          <w:t>(April), 15–26. https://doi.org/10.1016/j.ijpe.2019.01.004</w:t>
        </w:r>
      </w:hyperlink>
    </w:p>
    <w:p w:rsidR="000322CE" w:rsidRPr="00067267" w:rsidRDefault="000322CE" w:rsidP="003042C6">
      <w:pPr>
        <w:widowControl w:val="0"/>
        <w:autoSpaceDE w:val="0"/>
        <w:autoSpaceDN w:val="0"/>
        <w:adjustRightInd w:val="0"/>
        <w:spacing w:after="0" w:line="240" w:lineRule="auto"/>
        <w:ind w:left="480" w:hanging="480"/>
        <w:rPr>
          <w:rFonts w:cs="Calibri"/>
          <w:noProof/>
          <w:szCs w:val="24"/>
        </w:rPr>
      </w:pPr>
      <w:r w:rsidRPr="00067267">
        <w:rPr>
          <w:rFonts w:cs="Calibri"/>
          <w:noProof/>
          <w:szCs w:val="24"/>
        </w:rPr>
        <w:t xml:space="preserve">Ghozali, I. (2016). </w:t>
      </w:r>
      <w:r w:rsidRPr="00067267">
        <w:rPr>
          <w:rFonts w:cs="Calibri"/>
          <w:i/>
          <w:iCs/>
          <w:noProof/>
          <w:szCs w:val="24"/>
        </w:rPr>
        <w:t>Aplikasi Analisis Multivariate dengan Program IBM SPSS 23</w:t>
      </w:r>
      <w:r w:rsidRPr="00067267">
        <w:rPr>
          <w:rFonts w:cs="Calibri"/>
          <w:noProof/>
          <w:szCs w:val="24"/>
        </w:rPr>
        <w:t>. BPFE Universitas Diponegoro.</w:t>
      </w:r>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27" w:history="1">
        <w:r w:rsidR="000322CE" w:rsidRPr="00067267">
          <w:rPr>
            <w:rStyle w:val="Hyperlink"/>
            <w:rFonts w:cs="Calibri"/>
            <w:noProof/>
            <w:szCs w:val="24"/>
            <w:u w:val="none"/>
          </w:rPr>
          <w:t xml:space="preserve">Goel, S. (2014). The quality of reported numbers by the management. </w:t>
        </w:r>
        <w:r w:rsidR="000322CE" w:rsidRPr="00067267">
          <w:rPr>
            <w:rStyle w:val="Hyperlink"/>
            <w:rFonts w:cs="Calibri"/>
            <w:i/>
            <w:iCs/>
            <w:noProof/>
            <w:szCs w:val="24"/>
            <w:u w:val="none"/>
          </w:rPr>
          <w:t>Journal of Financial Crime</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21</w:t>
        </w:r>
        <w:r w:rsidR="000322CE" w:rsidRPr="00067267">
          <w:rPr>
            <w:rStyle w:val="Hyperlink"/>
            <w:rFonts w:cs="Calibri"/>
            <w:noProof/>
            <w:szCs w:val="24"/>
            <w:u w:val="none"/>
          </w:rPr>
          <w:t>(3), 355–376. https://doi.org/10.1108/jfc-02-2013-0011</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28" w:history="1">
        <w:r w:rsidR="000322CE" w:rsidRPr="00067267">
          <w:rPr>
            <w:rStyle w:val="Hyperlink"/>
            <w:rFonts w:cs="Calibri"/>
            <w:noProof/>
            <w:szCs w:val="24"/>
            <w:u w:val="none"/>
          </w:rPr>
          <w:t xml:space="preserve">Handoko, B. L., Mulyawan, A. N., Tanuwijaya, J., &amp; Tanciady, F. (2020). Big Data in Auditing for the Future of Data Driven Fraud Detection. </w:t>
        </w:r>
        <w:r w:rsidR="000322CE" w:rsidRPr="00067267">
          <w:rPr>
            <w:rStyle w:val="Hyperlink"/>
            <w:rFonts w:cs="Calibri"/>
            <w:i/>
            <w:iCs/>
            <w:noProof/>
            <w:szCs w:val="24"/>
            <w:u w:val="none"/>
          </w:rPr>
          <w:t>International Journal of Innovative Technology and Exploring Engineering</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9</w:t>
        </w:r>
        <w:r w:rsidR="000322CE" w:rsidRPr="00067267">
          <w:rPr>
            <w:rStyle w:val="Hyperlink"/>
            <w:rFonts w:cs="Calibri"/>
            <w:noProof/>
            <w:szCs w:val="24"/>
            <w:u w:val="none"/>
          </w:rPr>
          <w:t>(3), 2902–2907. https://doi.org/10.35940/ijitee.B7568.019320</w:t>
        </w:r>
      </w:hyperlink>
    </w:p>
    <w:p w:rsidR="0063205A" w:rsidRPr="00067267" w:rsidRDefault="0063205A" w:rsidP="003042C6">
      <w:pPr>
        <w:widowControl w:val="0"/>
        <w:autoSpaceDE w:val="0"/>
        <w:autoSpaceDN w:val="0"/>
        <w:adjustRightInd w:val="0"/>
        <w:spacing w:after="0" w:line="240" w:lineRule="auto"/>
        <w:ind w:left="480" w:hanging="480"/>
        <w:rPr>
          <w:rFonts w:cs="Calibri"/>
          <w:noProof/>
          <w:szCs w:val="24"/>
        </w:rPr>
      </w:pPr>
      <w:hyperlink r:id="rId29" w:history="1">
        <w:r w:rsidRPr="00067267">
          <w:rPr>
            <w:rStyle w:val="Hyperlink"/>
            <w:rFonts w:cs="Calibri"/>
            <w:noProof/>
            <w:szCs w:val="24"/>
            <w:u w:val="none"/>
          </w:rPr>
          <w:t>Hernandez, J. R., &amp; Groot, T. L. C. M. (2007). </w:t>
        </w:r>
        <w:r w:rsidRPr="00067267">
          <w:rPr>
            <w:rStyle w:val="Hyperlink"/>
            <w:rFonts w:cs="Calibri"/>
            <w:i/>
            <w:iCs/>
            <w:noProof/>
            <w:szCs w:val="24"/>
            <w:u w:val="none"/>
          </w:rPr>
          <w:t>Corporate fraud: Preventive controls which lower fraud risk</w:t>
        </w:r>
        <w:r w:rsidRPr="00067267">
          <w:rPr>
            <w:rStyle w:val="Hyperlink"/>
            <w:rFonts w:cs="Calibri"/>
            <w:noProof/>
            <w:szCs w:val="24"/>
            <w:u w:val="none"/>
          </w:rPr>
          <w:t>. ARCA, Amsterdam Research Center in Accounting.</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30" w:history="1">
        <w:r w:rsidR="000322CE" w:rsidRPr="00067267">
          <w:rPr>
            <w:rStyle w:val="Hyperlink"/>
            <w:rFonts w:cs="Calibri"/>
            <w:noProof/>
            <w:szCs w:val="24"/>
            <w:u w:val="none"/>
          </w:rPr>
          <w:t xml:space="preserve">Hipgrave, S. (2013). Smarter fraud investigations with big data analytics. </w:t>
        </w:r>
        <w:r w:rsidR="000322CE" w:rsidRPr="00067267">
          <w:rPr>
            <w:rStyle w:val="Hyperlink"/>
            <w:rFonts w:cs="Calibri"/>
            <w:i/>
            <w:iCs/>
            <w:noProof/>
            <w:szCs w:val="24"/>
            <w:u w:val="none"/>
          </w:rPr>
          <w:t>Network Security</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2013</w:t>
        </w:r>
        <w:r w:rsidR="000322CE" w:rsidRPr="00067267">
          <w:rPr>
            <w:rStyle w:val="Hyperlink"/>
            <w:rFonts w:cs="Calibri"/>
            <w:noProof/>
            <w:szCs w:val="24"/>
            <w:u w:val="none"/>
          </w:rPr>
          <w:t>(12), 7–9. https://doi.org/10.1016/S1353-4858(13)70135-1</w:t>
        </w:r>
      </w:hyperlink>
    </w:p>
    <w:p w:rsidR="00E15E33" w:rsidRPr="00067267" w:rsidRDefault="00F546CF" w:rsidP="00E15E33">
      <w:pPr>
        <w:widowControl w:val="0"/>
        <w:autoSpaceDE w:val="0"/>
        <w:autoSpaceDN w:val="0"/>
        <w:adjustRightInd w:val="0"/>
        <w:spacing w:after="0" w:line="240" w:lineRule="auto"/>
        <w:ind w:left="480" w:hanging="480"/>
        <w:rPr>
          <w:rFonts w:cs="Calibri"/>
          <w:noProof/>
          <w:color w:val="0563C1"/>
          <w:szCs w:val="24"/>
          <w:lang w:val="en-US"/>
        </w:rPr>
      </w:pPr>
      <w:hyperlink r:id="rId31" w:history="1">
        <w:r w:rsidR="00E15E33" w:rsidRPr="00067267">
          <w:rPr>
            <w:rStyle w:val="Hyperlink"/>
            <w:rFonts w:cs="Calibri"/>
            <w:noProof/>
            <w:szCs w:val="24"/>
            <w:u w:val="none"/>
            <w:lang w:val="en-US"/>
          </w:rPr>
          <w:t xml:space="preserve">Huang, S. Y., Lin, C. C., Chiu, A. A., &amp; Yen, D. C. (2017). Fraud detection using fraud triangle risk factors. </w:t>
        </w:r>
        <w:r w:rsidR="00E15E33" w:rsidRPr="00067267">
          <w:rPr>
            <w:rStyle w:val="Hyperlink"/>
            <w:rFonts w:cs="Calibri"/>
            <w:i/>
            <w:iCs/>
            <w:noProof/>
            <w:szCs w:val="24"/>
            <w:u w:val="none"/>
            <w:lang w:val="en-US"/>
          </w:rPr>
          <w:t>Information Systems Frontiers</w:t>
        </w:r>
        <w:r w:rsidR="00E15E33" w:rsidRPr="00067267">
          <w:rPr>
            <w:rStyle w:val="Hyperlink"/>
            <w:rFonts w:cs="Calibri"/>
            <w:noProof/>
            <w:szCs w:val="24"/>
            <w:u w:val="none"/>
            <w:lang w:val="en-US"/>
          </w:rPr>
          <w:t xml:space="preserve">, </w:t>
        </w:r>
        <w:r w:rsidR="00E15E33" w:rsidRPr="00067267">
          <w:rPr>
            <w:rStyle w:val="Hyperlink"/>
            <w:rFonts w:cs="Calibri"/>
            <w:i/>
            <w:iCs/>
            <w:noProof/>
            <w:szCs w:val="24"/>
            <w:u w:val="none"/>
            <w:lang w:val="en-US"/>
          </w:rPr>
          <w:t>19</w:t>
        </w:r>
        <w:r w:rsidR="00E15E33" w:rsidRPr="00067267">
          <w:rPr>
            <w:rStyle w:val="Hyperlink"/>
            <w:rFonts w:cs="Calibri"/>
            <w:iCs/>
            <w:noProof/>
            <w:szCs w:val="24"/>
            <w:u w:val="none"/>
            <w:lang w:val="en-US"/>
          </w:rPr>
          <w:t>(2017)</w:t>
        </w:r>
        <w:r w:rsidR="00E15E33" w:rsidRPr="00067267">
          <w:rPr>
            <w:rStyle w:val="Hyperlink"/>
            <w:rFonts w:cs="Calibri"/>
            <w:noProof/>
            <w:szCs w:val="24"/>
            <w:u w:val="none"/>
            <w:lang w:val="en-US"/>
          </w:rPr>
          <w:t>, 1343–1356. https://doi.org/10.1007/s10796-016-9647-9</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32" w:history="1">
        <w:r w:rsidR="000322CE" w:rsidRPr="00067267">
          <w:rPr>
            <w:rStyle w:val="Hyperlink"/>
            <w:rFonts w:cs="Calibri"/>
            <w:noProof/>
            <w:szCs w:val="24"/>
            <w:u w:val="none"/>
          </w:rPr>
          <w:t xml:space="preserve">Inayanti S, N., &amp; Sukirman. (2016). The effect of factors in Fraud Diamond perspective on fraudulent financial reporting. </w:t>
        </w:r>
        <w:r w:rsidR="000322CE" w:rsidRPr="00067267">
          <w:rPr>
            <w:rStyle w:val="Hyperlink"/>
            <w:rFonts w:cs="Calibri"/>
            <w:i/>
            <w:iCs/>
            <w:noProof/>
            <w:szCs w:val="24"/>
            <w:u w:val="none"/>
          </w:rPr>
          <w:t>Accounting, Analysis Journal</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5</w:t>
        </w:r>
        <w:r w:rsidR="000322CE" w:rsidRPr="00067267">
          <w:rPr>
            <w:rStyle w:val="Hyperlink"/>
            <w:rFonts w:cs="Calibri"/>
            <w:noProof/>
            <w:szCs w:val="24"/>
            <w:u w:val="none"/>
          </w:rPr>
          <w:t>(3), 155–162.</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33" w:history="1">
        <w:r w:rsidR="000322CE" w:rsidRPr="00067267">
          <w:rPr>
            <w:rStyle w:val="Hyperlink"/>
            <w:rFonts w:cs="Calibri"/>
            <w:noProof/>
            <w:szCs w:val="24"/>
            <w:u w:val="none"/>
          </w:rPr>
          <w:t xml:space="preserve">Kagermann, H., Wahlster, W., &amp; Helbig, J. (2013). Recommendations for Implementing the Strategic Initiative INDUSTRIE 4.0 - Final Report of the Industrie 4.0 Working Group. </w:t>
        </w:r>
        <w:r w:rsidR="000322CE" w:rsidRPr="00067267">
          <w:rPr>
            <w:rStyle w:val="Hyperlink"/>
            <w:rFonts w:cs="Calibri"/>
            <w:i/>
            <w:iCs/>
            <w:noProof/>
            <w:szCs w:val="24"/>
            <w:u w:val="none"/>
          </w:rPr>
          <w:t>Industrie</w:t>
        </w:r>
        <w:r w:rsidR="000322CE" w:rsidRPr="00067267">
          <w:rPr>
            <w:rStyle w:val="Hyperlink"/>
            <w:rFonts w:cs="Calibri"/>
            <w:noProof/>
            <w:szCs w:val="24"/>
            <w:u w:val="none"/>
          </w:rPr>
          <w:t>. https://doi.org/10.13140/RG.2.1.1205.8966</w:t>
        </w:r>
      </w:hyperlink>
    </w:p>
    <w:p w:rsidR="0063205A" w:rsidRPr="00067267" w:rsidRDefault="0063205A" w:rsidP="003042C6">
      <w:pPr>
        <w:widowControl w:val="0"/>
        <w:autoSpaceDE w:val="0"/>
        <w:autoSpaceDN w:val="0"/>
        <w:adjustRightInd w:val="0"/>
        <w:spacing w:after="0" w:line="240" w:lineRule="auto"/>
        <w:ind w:left="480" w:hanging="480"/>
        <w:rPr>
          <w:rFonts w:cs="Calibri"/>
          <w:noProof/>
          <w:szCs w:val="24"/>
        </w:rPr>
      </w:pPr>
      <w:hyperlink r:id="rId34" w:history="1">
        <w:r w:rsidRPr="00067267">
          <w:rPr>
            <w:rStyle w:val="Hyperlink"/>
            <w:rFonts w:cs="Calibri"/>
            <w:noProof/>
            <w:szCs w:val="24"/>
            <w:u w:val="none"/>
          </w:rPr>
          <w:t>Kamal, M. E. M., Salleh, M. F. M., &amp; Ahmad, A. (2016). Detecting financial statement fraud by Malaysian public listed companies: The reliability of the Beneish M-Score model. </w:t>
        </w:r>
        <w:r w:rsidRPr="00067267">
          <w:rPr>
            <w:rStyle w:val="Hyperlink"/>
            <w:rFonts w:cs="Calibri"/>
            <w:i/>
            <w:iCs/>
            <w:noProof/>
            <w:szCs w:val="24"/>
            <w:u w:val="none"/>
          </w:rPr>
          <w:t>Jurnal Pengurusan (UKM Journal of Management)</w:t>
        </w:r>
        <w:r w:rsidRPr="00067267">
          <w:rPr>
            <w:rStyle w:val="Hyperlink"/>
            <w:rFonts w:cs="Calibri"/>
            <w:noProof/>
            <w:szCs w:val="24"/>
            <w:u w:val="none"/>
          </w:rPr>
          <w:t>, </w:t>
        </w:r>
        <w:r w:rsidRPr="00067267">
          <w:rPr>
            <w:rStyle w:val="Hyperlink"/>
            <w:rFonts w:cs="Calibri"/>
            <w:i/>
            <w:iCs/>
            <w:noProof/>
            <w:szCs w:val="24"/>
            <w:u w:val="none"/>
          </w:rPr>
          <w:t>46</w:t>
        </w:r>
        <w:r w:rsidRPr="00067267">
          <w:rPr>
            <w:rStyle w:val="Hyperlink"/>
            <w:rFonts w:cs="Calibri"/>
            <w:iCs/>
            <w:noProof/>
            <w:szCs w:val="24"/>
            <w:u w:val="none"/>
            <w:lang w:val="en-US"/>
          </w:rPr>
          <w:t xml:space="preserve">(2016), </w:t>
        </w:r>
        <w:r w:rsidRPr="00067267">
          <w:rPr>
            <w:rStyle w:val="Hyperlink"/>
            <w:rFonts w:cs="Calibri"/>
            <w:iCs/>
            <w:noProof/>
            <w:szCs w:val="24"/>
            <w:u w:val="none"/>
          </w:rPr>
          <w:t>23 - 32</w:t>
        </w:r>
        <w:r w:rsidRPr="00067267">
          <w:rPr>
            <w:rStyle w:val="Hyperlink"/>
            <w:rFonts w:cs="Calibri"/>
            <w:noProof/>
            <w:szCs w:val="24"/>
            <w:u w:val="none"/>
          </w:rPr>
          <w:t>.</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35" w:history="1">
        <w:r w:rsidR="000322CE" w:rsidRPr="00067267">
          <w:rPr>
            <w:rStyle w:val="Hyperlink"/>
            <w:rFonts w:cs="Calibri"/>
            <w:noProof/>
            <w:szCs w:val="24"/>
            <w:u w:val="none"/>
          </w:rPr>
          <w:t xml:space="preserve">Kashmiri. (2014). </w:t>
        </w:r>
        <w:r w:rsidR="000322CE" w:rsidRPr="00067267">
          <w:rPr>
            <w:rStyle w:val="Hyperlink"/>
            <w:rFonts w:cs="Calibri"/>
            <w:i/>
            <w:iCs/>
            <w:noProof/>
            <w:szCs w:val="24"/>
            <w:u w:val="none"/>
          </w:rPr>
          <w:t>Testing accruals based earnings management models in an international context</w:t>
        </w:r>
        <w:r w:rsidR="000322CE" w:rsidRPr="00067267">
          <w:rPr>
            <w:rStyle w:val="Hyperlink"/>
            <w:rFonts w:cs="Calibri"/>
            <w:noProof/>
            <w:szCs w:val="24"/>
            <w:u w:val="none"/>
          </w:rPr>
          <w:t>. https://mro.massey.ac.nz/bitstream/handle/10179/5602/02_whole.pdf</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36" w:history="1">
        <w:r w:rsidR="00800773" w:rsidRPr="00067267">
          <w:rPr>
            <w:rStyle w:val="Hyperlink"/>
            <w:rFonts w:cs="Calibri"/>
            <w:noProof/>
            <w:szCs w:val="24"/>
            <w:u w:val="none"/>
          </w:rPr>
          <w:t xml:space="preserve">Kim, H. ., Kotb, A., &amp; Eldaly, M. . (2016). The use of generalized audit software by Egyptian external auditors. </w:t>
        </w:r>
        <w:r w:rsidR="00800773" w:rsidRPr="00067267">
          <w:rPr>
            <w:rStyle w:val="Hyperlink"/>
            <w:rFonts w:cs="Calibri"/>
            <w:i/>
            <w:noProof/>
            <w:szCs w:val="24"/>
            <w:u w:val="none"/>
          </w:rPr>
          <w:t>Journal Applied Accounting</w:t>
        </w:r>
        <w:r w:rsidR="00800773" w:rsidRPr="00067267">
          <w:rPr>
            <w:rStyle w:val="Hyperlink"/>
            <w:rFonts w:cs="Calibri"/>
            <w:i/>
            <w:noProof/>
            <w:szCs w:val="24"/>
            <w:u w:val="none"/>
            <w:lang w:val="en-US"/>
          </w:rPr>
          <w:t>,</w:t>
        </w:r>
        <w:r w:rsidR="00800773" w:rsidRPr="00067267">
          <w:rPr>
            <w:rStyle w:val="Hyperlink"/>
            <w:rFonts w:cs="Calibri"/>
            <w:i/>
            <w:noProof/>
            <w:szCs w:val="24"/>
            <w:u w:val="none"/>
          </w:rPr>
          <w:t xml:space="preserve"> 17</w:t>
        </w:r>
        <w:r w:rsidR="00800773" w:rsidRPr="00067267">
          <w:rPr>
            <w:rStyle w:val="Hyperlink"/>
            <w:rFonts w:cs="Calibri"/>
            <w:noProof/>
            <w:szCs w:val="24"/>
            <w:u w:val="none"/>
          </w:rPr>
          <w:t>(4), 456–478. https://doi.org/10.1108/JAAR-10-2015-0079</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37" w:history="1">
        <w:r w:rsidR="000322CE" w:rsidRPr="00067267">
          <w:rPr>
            <w:rStyle w:val="Hyperlink"/>
            <w:rFonts w:cs="Calibri"/>
            <w:noProof/>
            <w:szCs w:val="24"/>
            <w:u w:val="none"/>
          </w:rPr>
          <w:t xml:space="preserve">Korunka, C., Weiss, A., Huemer, K.-H., &amp; Karetta, B. (1995). The Effect of New Technologies on Job Satisfaction and Psychosomatic Complaints. </w:t>
        </w:r>
        <w:r w:rsidR="000322CE" w:rsidRPr="00067267">
          <w:rPr>
            <w:rStyle w:val="Hyperlink"/>
            <w:rFonts w:cs="Calibri"/>
            <w:i/>
            <w:iCs/>
            <w:noProof/>
            <w:szCs w:val="24"/>
            <w:u w:val="none"/>
          </w:rPr>
          <w:t>Applied Psychology</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14</w:t>
        </w:r>
        <w:r w:rsidR="000322CE" w:rsidRPr="00067267">
          <w:rPr>
            <w:rStyle w:val="Hyperlink"/>
            <w:rFonts w:cs="Calibri"/>
            <w:noProof/>
            <w:szCs w:val="24"/>
            <w:u w:val="none"/>
          </w:rPr>
          <w:t>(2), 331–348. https://doi.org/10.1111/j.1464-0597.1995.tb01070.x</w:t>
        </w:r>
      </w:hyperlink>
    </w:p>
    <w:p w:rsidR="000322CE" w:rsidRPr="00067267" w:rsidRDefault="000322CE" w:rsidP="003042C6">
      <w:pPr>
        <w:widowControl w:val="0"/>
        <w:autoSpaceDE w:val="0"/>
        <w:autoSpaceDN w:val="0"/>
        <w:adjustRightInd w:val="0"/>
        <w:spacing w:after="0" w:line="240" w:lineRule="auto"/>
        <w:ind w:left="480" w:hanging="480"/>
        <w:rPr>
          <w:rFonts w:cs="Calibri"/>
          <w:noProof/>
          <w:szCs w:val="24"/>
        </w:rPr>
      </w:pPr>
      <w:r w:rsidRPr="00067267">
        <w:rPr>
          <w:rFonts w:cs="Calibri"/>
          <w:noProof/>
          <w:szCs w:val="24"/>
        </w:rPr>
        <w:t xml:space="preserve">KPMG. (2013). </w:t>
      </w:r>
      <w:r w:rsidRPr="00067267">
        <w:rPr>
          <w:rFonts w:cs="Calibri"/>
          <w:i/>
          <w:iCs/>
          <w:noProof/>
          <w:szCs w:val="24"/>
        </w:rPr>
        <w:t>Fraud increase 38% to over 0.5bn but real cost is human misery</w:t>
      </w:r>
      <w:r w:rsidRPr="00067267">
        <w:rPr>
          <w:rFonts w:cs="Calibri"/>
          <w:noProof/>
          <w:szCs w:val="24"/>
        </w:rPr>
        <w:t>.</w:t>
      </w:r>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38" w:history="1">
        <w:r w:rsidR="000322CE" w:rsidRPr="00067267">
          <w:rPr>
            <w:rStyle w:val="Hyperlink"/>
            <w:rFonts w:cs="Calibri"/>
            <w:noProof/>
            <w:szCs w:val="24"/>
            <w:u w:val="none"/>
          </w:rPr>
          <w:t xml:space="preserve">Lou, Y.-I., &amp; Wang, M.-L. (2011). Fraud Risk Factor Of The Fraud Triangle Assessing The Likelihood Of Fraudulent Financial Reporting. </w:t>
        </w:r>
        <w:r w:rsidR="000322CE" w:rsidRPr="00067267">
          <w:rPr>
            <w:rStyle w:val="Hyperlink"/>
            <w:rFonts w:cs="Calibri"/>
            <w:i/>
            <w:iCs/>
            <w:noProof/>
            <w:szCs w:val="24"/>
            <w:u w:val="none"/>
          </w:rPr>
          <w:t>Journal of Business &amp; Economics Research (JBER)</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7</w:t>
        </w:r>
        <w:r w:rsidR="000322CE" w:rsidRPr="00067267">
          <w:rPr>
            <w:rStyle w:val="Hyperlink"/>
            <w:rFonts w:cs="Calibri"/>
            <w:noProof/>
            <w:szCs w:val="24"/>
            <w:u w:val="none"/>
          </w:rPr>
          <w:t>(2), 61–78. https://doi.org/10.19030/jber.v7i2.2262</w:t>
        </w:r>
      </w:hyperlink>
    </w:p>
    <w:p w:rsidR="00F546CF" w:rsidRPr="00067267" w:rsidRDefault="00F546CF" w:rsidP="00F546CF">
      <w:pPr>
        <w:widowControl w:val="0"/>
        <w:autoSpaceDE w:val="0"/>
        <w:autoSpaceDN w:val="0"/>
        <w:adjustRightInd w:val="0"/>
        <w:spacing w:after="0" w:line="240" w:lineRule="auto"/>
        <w:ind w:left="480" w:hanging="480"/>
        <w:rPr>
          <w:rFonts w:cs="Calibri"/>
          <w:noProof/>
          <w:color w:val="0563C1"/>
          <w:szCs w:val="24"/>
          <w:lang w:val="en-US"/>
        </w:rPr>
      </w:pPr>
      <w:hyperlink r:id="rId39" w:history="1">
        <w:r w:rsidRPr="00067267">
          <w:rPr>
            <w:rStyle w:val="Hyperlink"/>
            <w:rFonts w:cs="Calibri"/>
            <w:noProof/>
            <w:szCs w:val="24"/>
            <w:u w:val="none"/>
            <w:lang w:val="en-US"/>
          </w:rPr>
          <w:t xml:space="preserve">Lynch A, &amp; Gomaa. (2003). Understanding the potential impact of infromation technology on the susceptibility of organizationto fraudulent employee behavior. </w:t>
        </w:r>
        <w:r w:rsidRPr="00067267">
          <w:rPr>
            <w:rStyle w:val="Hyperlink"/>
            <w:rFonts w:cs="Calibri"/>
            <w:i/>
            <w:iCs/>
            <w:noProof/>
            <w:szCs w:val="24"/>
            <w:u w:val="none"/>
            <w:lang w:val="en-US"/>
          </w:rPr>
          <w:t>International Journal of Accounting Information System</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4</w:t>
        </w:r>
        <w:r w:rsidRPr="00067267">
          <w:rPr>
            <w:rStyle w:val="Hyperlink"/>
            <w:rFonts w:cs="Calibri"/>
            <w:noProof/>
            <w:szCs w:val="24"/>
            <w:u w:val="none"/>
            <w:lang w:val="en-US"/>
          </w:rPr>
          <w:t>(4), 295–308. https://doi.org/10.1016/j.accinf.2003.04.001</w:t>
        </w:r>
      </w:hyperlink>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40" w:history="1">
        <w:r w:rsidR="000322CE" w:rsidRPr="00067267">
          <w:rPr>
            <w:rStyle w:val="Hyperlink"/>
            <w:rFonts w:cs="Calibri"/>
            <w:noProof/>
            <w:szCs w:val="24"/>
            <w:u w:val="none"/>
          </w:rPr>
          <w:t xml:space="preserve">MacCarthy, J. (2017). Using Altman Z-score and Beneish M-score models to detect financial fraud and corporate failure : A case study of Enron Corporation. </w:t>
        </w:r>
        <w:r w:rsidR="000322CE" w:rsidRPr="00067267">
          <w:rPr>
            <w:rStyle w:val="Hyperlink"/>
            <w:rFonts w:cs="Calibri"/>
            <w:i/>
            <w:iCs/>
            <w:noProof/>
            <w:szCs w:val="24"/>
            <w:u w:val="none"/>
          </w:rPr>
          <w:t>International Journal of Finance and Accounting</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6</w:t>
        </w:r>
        <w:r w:rsidR="000322CE" w:rsidRPr="00067267">
          <w:rPr>
            <w:rStyle w:val="Hyperlink"/>
            <w:rFonts w:cs="Calibri"/>
            <w:noProof/>
            <w:szCs w:val="24"/>
            <w:u w:val="none"/>
          </w:rPr>
          <w:t>(6), 159–166. https://doi.org/10.5923/j.ijfa.20170606.01</w:t>
        </w:r>
      </w:hyperlink>
    </w:p>
    <w:p w:rsidR="00F546CF" w:rsidRPr="00067267" w:rsidRDefault="00F546CF" w:rsidP="00F546CF">
      <w:pPr>
        <w:widowControl w:val="0"/>
        <w:autoSpaceDE w:val="0"/>
        <w:autoSpaceDN w:val="0"/>
        <w:adjustRightInd w:val="0"/>
        <w:spacing w:after="0" w:line="240" w:lineRule="auto"/>
        <w:ind w:left="480" w:hanging="480"/>
        <w:rPr>
          <w:rFonts w:cs="Calibri"/>
          <w:noProof/>
          <w:szCs w:val="24"/>
          <w:lang w:val="en-US"/>
        </w:rPr>
      </w:pPr>
      <w:hyperlink r:id="rId41" w:history="1">
        <w:r w:rsidRPr="00067267">
          <w:rPr>
            <w:rStyle w:val="Hyperlink"/>
            <w:rFonts w:cs="Calibri"/>
            <w:noProof/>
            <w:szCs w:val="24"/>
            <w:u w:val="none"/>
            <w:lang w:val="en-US"/>
          </w:rPr>
          <w:t xml:space="preserve">Ngai, E. W. T., Hu, Y., Wong, Y. H., Chen, Y., &amp; Sun, X. (2011). The application of data mining techniques in financial fraud detection: A classification framework and an academic review of literature. </w:t>
        </w:r>
        <w:r w:rsidRPr="00067267">
          <w:rPr>
            <w:rStyle w:val="Hyperlink"/>
            <w:rFonts w:cs="Calibri"/>
            <w:i/>
            <w:iCs/>
            <w:noProof/>
            <w:szCs w:val="24"/>
            <w:u w:val="none"/>
            <w:lang w:val="en-US"/>
          </w:rPr>
          <w:t>Decision Support Systems</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50</w:t>
        </w:r>
        <w:r w:rsidRPr="00067267">
          <w:rPr>
            <w:rStyle w:val="Hyperlink"/>
            <w:rFonts w:cs="Calibri"/>
            <w:noProof/>
            <w:szCs w:val="24"/>
            <w:u w:val="none"/>
            <w:lang w:val="en-US"/>
          </w:rPr>
          <w:t>(3), 559–569. https://doi.org/10.1016/j.dss.2010.08.006</w:t>
        </w:r>
      </w:hyperlink>
    </w:p>
    <w:p w:rsidR="00B7180B" w:rsidRPr="00067267" w:rsidRDefault="00B7180B" w:rsidP="003042C6">
      <w:pPr>
        <w:widowControl w:val="0"/>
        <w:autoSpaceDE w:val="0"/>
        <w:autoSpaceDN w:val="0"/>
        <w:adjustRightInd w:val="0"/>
        <w:spacing w:after="0" w:line="240" w:lineRule="auto"/>
        <w:ind w:left="480" w:hanging="480"/>
        <w:rPr>
          <w:rFonts w:cs="Calibri"/>
          <w:noProof/>
          <w:szCs w:val="24"/>
        </w:rPr>
      </w:pPr>
      <w:hyperlink r:id="rId42" w:history="1">
        <w:r w:rsidRPr="00067267">
          <w:rPr>
            <w:rStyle w:val="Hyperlink"/>
            <w:rFonts w:cs="Calibri"/>
            <w:noProof/>
            <w:szCs w:val="24"/>
            <w:u w:val="none"/>
          </w:rPr>
          <w:t>Noble, M. R. (2019). Fraud diamond analysis in detecting financial statement fraud. </w:t>
        </w:r>
        <w:r w:rsidRPr="00067267">
          <w:rPr>
            <w:rStyle w:val="Hyperlink"/>
            <w:rFonts w:cs="Calibri"/>
            <w:i/>
            <w:iCs/>
            <w:noProof/>
            <w:szCs w:val="24"/>
            <w:u w:val="none"/>
          </w:rPr>
          <w:t>The Indonesian Accounting Review</w:t>
        </w:r>
        <w:r w:rsidRPr="00067267">
          <w:rPr>
            <w:rStyle w:val="Hyperlink"/>
            <w:rFonts w:cs="Calibri"/>
            <w:noProof/>
            <w:szCs w:val="24"/>
            <w:u w:val="none"/>
          </w:rPr>
          <w:t>, </w:t>
        </w:r>
        <w:r w:rsidRPr="00067267">
          <w:rPr>
            <w:rStyle w:val="Hyperlink"/>
            <w:rFonts w:cs="Calibri"/>
            <w:i/>
            <w:iCs/>
            <w:noProof/>
            <w:szCs w:val="24"/>
            <w:u w:val="none"/>
          </w:rPr>
          <w:t>9</w:t>
        </w:r>
        <w:r w:rsidRPr="00067267">
          <w:rPr>
            <w:rStyle w:val="Hyperlink"/>
            <w:rFonts w:cs="Calibri"/>
            <w:noProof/>
            <w:szCs w:val="24"/>
            <w:u w:val="none"/>
          </w:rPr>
          <w:t>(2), 121-132.</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43" w:history="1">
        <w:r w:rsidR="000322CE" w:rsidRPr="00067267">
          <w:rPr>
            <w:rStyle w:val="Hyperlink"/>
            <w:rFonts w:cs="Calibri"/>
            <w:noProof/>
            <w:szCs w:val="24"/>
            <w:u w:val="none"/>
          </w:rPr>
          <w:t>Nugraheni, &amp; Trihatmoko. (2018). Analisis faktor-faktor yang mempengaruhi terjadinya financial statement fraud : Perspektif Diamond Fraud Theory(Studi pada perusahaan perbankan yang terdaftar di Bursa Efek Ind</w:t>
        </w:r>
        <w:r w:rsidR="00EE45B4" w:rsidRPr="00067267">
          <w:rPr>
            <w:rStyle w:val="Hyperlink"/>
            <w:rFonts w:cs="Calibri"/>
            <w:noProof/>
            <w:szCs w:val="24"/>
            <w:u w:val="none"/>
          </w:rPr>
          <w:t>onesia periode 2014-2016</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Jurnal Akuntansi Dan Auditing</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14</w:t>
        </w:r>
        <w:r w:rsidR="000322CE" w:rsidRPr="00067267">
          <w:rPr>
            <w:rStyle w:val="Hyperlink"/>
            <w:rFonts w:cs="Calibri"/>
            <w:noProof/>
            <w:szCs w:val="24"/>
            <w:u w:val="none"/>
          </w:rPr>
          <w:t>(2), 118–143.</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44" w:history="1">
        <w:r w:rsidR="000322CE" w:rsidRPr="00067267">
          <w:rPr>
            <w:rStyle w:val="Hyperlink"/>
            <w:rFonts w:cs="Calibri"/>
            <w:noProof/>
            <w:szCs w:val="24"/>
            <w:u w:val="none"/>
          </w:rPr>
          <w:t>Oktarigusta, &amp; Lutfiana. (2017). Analisis fraud diamond untuk</w:t>
        </w:r>
        <w:r w:rsidR="00EE45B4" w:rsidRPr="00067267">
          <w:rPr>
            <w:rStyle w:val="Hyperlink"/>
            <w:rFonts w:cs="Calibri"/>
            <w:noProof/>
            <w:szCs w:val="24"/>
            <w:u w:val="none"/>
            <w:lang w:val="en-US"/>
          </w:rPr>
          <w:t xml:space="preserve"> </w:t>
        </w:r>
        <w:r w:rsidR="000322CE" w:rsidRPr="00067267">
          <w:rPr>
            <w:rStyle w:val="Hyperlink"/>
            <w:rFonts w:cs="Calibri"/>
            <w:noProof/>
            <w:szCs w:val="24"/>
            <w:u w:val="none"/>
          </w:rPr>
          <w:t xml:space="preserve">mendeteksi terjadinya financial statement fraud di perusahaan (studi empiris pada perusahaan manufaktur yang terdaftar di BEI tahun 2012-2015). </w:t>
        </w:r>
        <w:r w:rsidR="000322CE" w:rsidRPr="00067267">
          <w:rPr>
            <w:rStyle w:val="Hyperlink"/>
            <w:rFonts w:cs="Calibri"/>
            <w:i/>
            <w:iCs/>
            <w:noProof/>
            <w:szCs w:val="24"/>
            <w:u w:val="none"/>
          </w:rPr>
          <w:t>Ekonomi Manajemen Sumber Daya</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19</w:t>
        </w:r>
        <w:r w:rsidR="000322CE" w:rsidRPr="00067267">
          <w:rPr>
            <w:rStyle w:val="Hyperlink"/>
            <w:rFonts w:cs="Calibri"/>
            <w:noProof/>
            <w:szCs w:val="24"/>
            <w:u w:val="none"/>
          </w:rPr>
          <w:t>(2), 92–108.</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45" w:history="1">
        <w:r w:rsidR="000322CE" w:rsidRPr="00067267">
          <w:rPr>
            <w:rStyle w:val="Hyperlink"/>
            <w:rFonts w:cs="Calibri"/>
            <w:noProof/>
            <w:szCs w:val="24"/>
            <w:u w:val="none"/>
          </w:rPr>
          <w:t xml:space="preserve">Oktaviani, E., &amp; Karyawati, G. (2014). Factors Affecting Financial Statement Fraud : Fraud Triangle Approach. </w:t>
        </w:r>
        <w:r w:rsidR="000322CE" w:rsidRPr="00067267">
          <w:rPr>
            <w:rStyle w:val="Hyperlink"/>
            <w:rFonts w:cs="Calibri"/>
            <w:i/>
            <w:iCs/>
            <w:noProof/>
            <w:szCs w:val="24"/>
            <w:u w:val="none"/>
          </w:rPr>
          <w:t>Economic &amp; Business Research Festival Universitas Kristen Satya Wacana</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3</w:t>
        </w:r>
        <w:r w:rsidR="000322CE" w:rsidRPr="00067267">
          <w:rPr>
            <w:rStyle w:val="Hyperlink"/>
            <w:rFonts w:cs="Calibri"/>
            <w:noProof/>
            <w:szCs w:val="24"/>
            <w:u w:val="none"/>
          </w:rPr>
          <w:t>, 1939–1955.</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46" w:history="1">
        <w:r w:rsidR="000322CE" w:rsidRPr="00067267">
          <w:rPr>
            <w:rStyle w:val="Hyperlink"/>
            <w:rFonts w:cs="Calibri"/>
            <w:noProof/>
            <w:szCs w:val="24"/>
            <w:u w:val="none"/>
          </w:rPr>
          <w:t xml:space="preserve">Rahayu, W. P., &amp; Sopian, D. (2017). Pengaruh Rasio Keuangan Dan Ukuran Perusahaan Terhadap Financial Distress (Studi Empiris Pada Perusahaan Food and Beverage Di Bursa Efek Indonesia). </w:t>
        </w:r>
        <w:r w:rsidR="000322CE" w:rsidRPr="00067267">
          <w:rPr>
            <w:rStyle w:val="Hyperlink"/>
            <w:rFonts w:cs="Calibri"/>
            <w:i/>
            <w:iCs/>
            <w:noProof/>
            <w:szCs w:val="24"/>
            <w:u w:val="none"/>
          </w:rPr>
          <w:t>Competitive Jurnal Akuntansi Dan Keuangan</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w:t>
        </w:r>
        <w:r w:rsidR="000322CE" w:rsidRPr="00067267">
          <w:rPr>
            <w:rStyle w:val="Hyperlink"/>
            <w:rFonts w:cs="Calibri"/>
            <w:noProof/>
            <w:szCs w:val="24"/>
            <w:u w:val="none"/>
          </w:rPr>
          <w:t>(2).</w:t>
        </w:r>
      </w:hyperlink>
    </w:p>
    <w:p w:rsidR="000322CE" w:rsidRPr="002C747A" w:rsidRDefault="000322CE" w:rsidP="003042C6">
      <w:pPr>
        <w:widowControl w:val="0"/>
        <w:autoSpaceDE w:val="0"/>
        <w:autoSpaceDN w:val="0"/>
        <w:adjustRightInd w:val="0"/>
        <w:spacing w:after="0" w:line="240" w:lineRule="auto"/>
        <w:ind w:left="480" w:hanging="480"/>
        <w:rPr>
          <w:rFonts w:cs="Calibri"/>
          <w:noProof/>
          <w:szCs w:val="24"/>
        </w:rPr>
      </w:pPr>
      <w:r w:rsidRPr="00067267">
        <w:rPr>
          <w:rFonts w:cs="Calibri"/>
          <w:noProof/>
          <w:szCs w:val="24"/>
        </w:rPr>
        <w:t xml:space="preserve">Rawson, G., Sarak, J., &amp; Scott, D. (2016). </w:t>
      </w:r>
      <w:r w:rsidRPr="002C747A">
        <w:rPr>
          <w:rFonts w:cs="Calibri"/>
          <w:i/>
          <w:noProof/>
          <w:szCs w:val="24"/>
        </w:rPr>
        <w:t>How</w:t>
      </w:r>
      <w:r w:rsidR="002C747A" w:rsidRPr="002C747A">
        <w:rPr>
          <w:rFonts w:cs="Calibri"/>
          <w:i/>
          <w:noProof/>
          <w:szCs w:val="24"/>
        </w:rPr>
        <w:t xml:space="preserve"> to scale personalized learn</w:t>
      </w:r>
      <w:bookmarkStart w:id="8" w:name="_GoBack"/>
      <w:bookmarkEnd w:id="8"/>
      <w:r w:rsidR="002C747A" w:rsidRPr="002C747A">
        <w:rPr>
          <w:rFonts w:cs="Calibri"/>
          <w:i/>
          <w:noProof/>
          <w:szCs w:val="24"/>
        </w:rPr>
        <w:t>ing</w:t>
      </w:r>
      <w:r w:rsidR="002C747A" w:rsidRPr="002C747A">
        <w:rPr>
          <w:rFonts w:cs="Calibri"/>
          <w:i/>
          <w:noProof/>
          <w:szCs w:val="24"/>
          <w:lang w:val="en-US"/>
        </w:rPr>
        <w:t>.</w:t>
      </w:r>
      <w:r w:rsidR="002C747A">
        <w:rPr>
          <w:rFonts w:cs="Calibri"/>
          <w:noProof/>
          <w:szCs w:val="24"/>
          <w:lang w:val="en-US"/>
        </w:rPr>
        <w:t xml:space="preserve"> </w:t>
      </w:r>
      <w:r w:rsidRPr="002C747A">
        <w:rPr>
          <w:rFonts w:cs="Calibri"/>
          <w:iCs/>
          <w:noProof/>
          <w:szCs w:val="24"/>
        </w:rPr>
        <w:t>Mc Kinsey &amp; Company</w:t>
      </w:r>
      <w:r w:rsidRPr="002C747A">
        <w:rPr>
          <w:rFonts w:cs="Calibri"/>
          <w:noProof/>
          <w:szCs w:val="24"/>
        </w:rPr>
        <w:t>.</w:t>
      </w:r>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47" w:history="1">
        <w:r w:rsidR="000322CE" w:rsidRPr="00067267">
          <w:rPr>
            <w:rStyle w:val="Hyperlink"/>
            <w:rFonts w:cs="Calibri"/>
            <w:noProof/>
            <w:szCs w:val="24"/>
            <w:u w:val="none"/>
          </w:rPr>
          <w:t xml:space="preserve">Repousis, S. (2016). Using Beneish model to detect corporate financial statement fraud in Greece. </w:t>
        </w:r>
        <w:r w:rsidR="000322CE" w:rsidRPr="00067267">
          <w:rPr>
            <w:rStyle w:val="Hyperlink"/>
            <w:rFonts w:cs="Calibri"/>
            <w:i/>
            <w:iCs/>
            <w:noProof/>
            <w:szCs w:val="24"/>
            <w:u w:val="none"/>
          </w:rPr>
          <w:t>Journal of Financial Crime</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23</w:t>
        </w:r>
        <w:r w:rsidR="000322CE" w:rsidRPr="00067267">
          <w:rPr>
            <w:rStyle w:val="Hyperlink"/>
            <w:rFonts w:cs="Calibri"/>
            <w:noProof/>
            <w:szCs w:val="24"/>
            <w:u w:val="none"/>
          </w:rPr>
          <w:t>(4), 1063–1073. https://doi.org/10.1108/JFC-11-2014-0055</w:t>
        </w:r>
      </w:hyperlink>
    </w:p>
    <w:p w:rsidR="00B7180B" w:rsidRPr="00067267" w:rsidRDefault="00B7180B" w:rsidP="003042C6">
      <w:pPr>
        <w:widowControl w:val="0"/>
        <w:autoSpaceDE w:val="0"/>
        <w:autoSpaceDN w:val="0"/>
        <w:adjustRightInd w:val="0"/>
        <w:spacing w:after="0" w:line="240" w:lineRule="auto"/>
        <w:ind w:left="480" w:hanging="480"/>
        <w:rPr>
          <w:rFonts w:cs="Calibri"/>
          <w:noProof/>
          <w:szCs w:val="24"/>
        </w:rPr>
      </w:pPr>
      <w:hyperlink r:id="rId48" w:history="1">
        <w:r w:rsidRPr="00067267">
          <w:rPr>
            <w:rStyle w:val="Hyperlink"/>
            <w:rFonts w:cs="Calibri"/>
            <w:noProof/>
            <w:szCs w:val="24"/>
            <w:u w:val="none"/>
          </w:rPr>
          <w:t>Rezaee, Z. (2002). </w:t>
        </w:r>
        <w:r w:rsidRPr="00067267">
          <w:rPr>
            <w:rStyle w:val="Hyperlink"/>
            <w:rFonts w:cs="Calibri"/>
            <w:i/>
            <w:iCs/>
            <w:noProof/>
            <w:szCs w:val="24"/>
            <w:u w:val="none"/>
          </w:rPr>
          <w:t>Financial statement fraud: prevention and detection</w:t>
        </w:r>
        <w:r w:rsidRPr="00067267">
          <w:rPr>
            <w:rStyle w:val="Hyperlink"/>
            <w:rFonts w:cs="Calibri"/>
            <w:noProof/>
            <w:szCs w:val="24"/>
            <w:u w:val="none"/>
          </w:rPr>
          <w:t>. John Wiley &amp; Sons.</w:t>
        </w:r>
      </w:hyperlink>
    </w:p>
    <w:p w:rsidR="00F546CF" w:rsidRPr="00067267" w:rsidRDefault="00F546CF" w:rsidP="00F546CF">
      <w:pPr>
        <w:widowControl w:val="0"/>
        <w:autoSpaceDE w:val="0"/>
        <w:autoSpaceDN w:val="0"/>
        <w:adjustRightInd w:val="0"/>
        <w:spacing w:after="0" w:line="240" w:lineRule="auto"/>
        <w:ind w:left="480" w:hanging="480"/>
        <w:rPr>
          <w:rFonts w:cs="Calibri"/>
          <w:noProof/>
          <w:szCs w:val="24"/>
          <w:lang w:val="en-US"/>
        </w:rPr>
      </w:pPr>
      <w:r w:rsidRPr="00067267">
        <w:rPr>
          <w:rFonts w:cs="Calibri"/>
          <w:noProof/>
          <w:szCs w:val="24"/>
          <w:lang w:val="en-US"/>
        </w:rPr>
        <w:t xml:space="preserve">Rogers, E. M. (1995). Diffusion of Innovations, Fourth Edition. Collier </w:t>
      </w:r>
      <w:r w:rsidRPr="00067267">
        <w:rPr>
          <w:rFonts w:cs="Calibri"/>
          <w:noProof/>
          <w:szCs w:val="24"/>
        </w:rPr>
        <w:t>Macmillan Publishing</w:t>
      </w:r>
      <w:r w:rsidRPr="00067267">
        <w:rPr>
          <w:rFonts w:cs="Calibri"/>
          <w:noProof/>
          <w:szCs w:val="24"/>
          <w:lang w:val="en-US"/>
        </w:rPr>
        <w:t>.</w:t>
      </w:r>
    </w:p>
    <w:p w:rsidR="00067267" w:rsidRPr="00067267" w:rsidRDefault="00067267" w:rsidP="00067267">
      <w:pPr>
        <w:widowControl w:val="0"/>
        <w:autoSpaceDE w:val="0"/>
        <w:autoSpaceDN w:val="0"/>
        <w:adjustRightInd w:val="0"/>
        <w:spacing w:after="0" w:line="240" w:lineRule="auto"/>
        <w:ind w:left="480" w:hanging="480"/>
        <w:rPr>
          <w:rFonts w:cs="Calibri"/>
          <w:noProof/>
          <w:szCs w:val="24"/>
          <w:lang w:val="en-US"/>
        </w:rPr>
      </w:pPr>
      <w:r w:rsidRPr="00067267">
        <w:rPr>
          <w:rFonts w:cs="Calibri"/>
          <w:noProof/>
          <w:szCs w:val="24"/>
        </w:rPr>
        <w:t>Safiq, M., &amp; Seles, W. (2019, February). The effects of external pressures, financial targets and financial distress on financial statement fraud. In </w:t>
      </w:r>
      <w:r w:rsidRPr="00067267">
        <w:rPr>
          <w:rFonts w:cs="Calibri"/>
          <w:i/>
          <w:iCs/>
          <w:noProof/>
          <w:szCs w:val="24"/>
        </w:rPr>
        <w:t>5th Annual International Conference on Accounting Research (AICAR 2018)</w:t>
      </w:r>
      <w:r w:rsidRPr="00067267">
        <w:rPr>
          <w:rFonts w:cs="Calibri"/>
          <w:noProof/>
          <w:szCs w:val="24"/>
        </w:rPr>
        <w:t> (pp. 57-61). Atlantis Press.</w:t>
      </w:r>
      <w:r w:rsidRPr="00067267">
        <w:rPr>
          <w:rFonts w:cs="Calibri"/>
          <w:noProof/>
          <w:szCs w:val="24"/>
          <w:lang w:val="en-US"/>
        </w:rPr>
        <w:t xml:space="preserve"> </w:t>
      </w:r>
    </w:p>
    <w:p w:rsidR="00067267" w:rsidRPr="00067267" w:rsidRDefault="00067267" w:rsidP="00067267">
      <w:pPr>
        <w:widowControl w:val="0"/>
        <w:autoSpaceDE w:val="0"/>
        <w:autoSpaceDN w:val="0"/>
        <w:adjustRightInd w:val="0"/>
        <w:spacing w:after="0" w:line="240" w:lineRule="auto"/>
        <w:ind w:left="480" w:hanging="480"/>
        <w:rPr>
          <w:rFonts w:cs="Calibri"/>
          <w:noProof/>
          <w:szCs w:val="24"/>
          <w:lang w:val="en-US"/>
        </w:rPr>
      </w:pPr>
      <w:hyperlink r:id="rId49" w:history="1">
        <w:r w:rsidRPr="00067267">
          <w:rPr>
            <w:rStyle w:val="Hyperlink"/>
            <w:rFonts w:cs="Calibri"/>
            <w:noProof/>
            <w:szCs w:val="24"/>
            <w:u w:val="none"/>
            <w:lang w:val="en-US"/>
          </w:rPr>
          <w:t xml:space="preserve">Schuchter, A., &amp; Levi, M. (2015). Beyond the fraud triangle: Swiss and Austrian elite fraudsters. </w:t>
        </w:r>
        <w:r w:rsidRPr="00067267">
          <w:rPr>
            <w:rStyle w:val="Hyperlink"/>
            <w:rFonts w:cs="Calibri"/>
            <w:i/>
            <w:iCs/>
            <w:noProof/>
            <w:szCs w:val="24"/>
            <w:u w:val="none"/>
            <w:lang w:val="en-US"/>
          </w:rPr>
          <w:t>Accounting Forum</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39</w:t>
        </w:r>
        <w:r w:rsidRPr="00067267">
          <w:rPr>
            <w:rStyle w:val="Hyperlink"/>
            <w:rFonts w:cs="Calibri"/>
            <w:iCs/>
            <w:noProof/>
            <w:szCs w:val="24"/>
            <w:u w:val="none"/>
            <w:lang w:val="en-US"/>
          </w:rPr>
          <w:t>(3)</w:t>
        </w:r>
        <w:r w:rsidRPr="00067267">
          <w:rPr>
            <w:rStyle w:val="Hyperlink"/>
            <w:rFonts w:cs="Calibri"/>
            <w:noProof/>
            <w:szCs w:val="24"/>
            <w:u w:val="none"/>
            <w:lang w:val="en-US"/>
          </w:rPr>
          <w:t>, 176–187. https://doi.org/10.1016/j.accfor.2014.12.001</w:t>
        </w:r>
      </w:hyperlink>
    </w:p>
    <w:p w:rsidR="000322CE" w:rsidRPr="00067267" w:rsidRDefault="000322CE" w:rsidP="003042C6">
      <w:pPr>
        <w:widowControl w:val="0"/>
        <w:autoSpaceDE w:val="0"/>
        <w:autoSpaceDN w:val="0"/>
        <w:adjustRightInd w:val="0"/>
        <w:spacing w:after="0" w:line="240" w:lineRule="auto"/>
        <w:ind w:left="480" w:hanging="480"/>
        <w:rPr>
          <w:rFonts w:cs="Calibri"/>
          <w:noProof/>
          <w:szCs w:val="24"/>
        </w:rPr>
      </w:pPr>
      <w:r w:rsidRPr="00067267">
        <w:rPr>
          <w:rFonts w:cs="Calibri"/>
          <w:noProof/>
          <w:szCs w:val="24"/>
        </w:rPr>
        <w:t xml:space="preserve">Singleton, T. W. (2010). </w:t>
      </w:r>
      <w:r w:rsidRPr="00067267">
        <w:rPr>
          <w:rFonts w:cs="Calibri"/>
          <w:i/>
          <w:iCs/>
          <w:noProof/>
          <w:szCs w:val="24"/>
        </w:rPr>
        <w:t>Fraud Accounting &amp; Forensic Accounting</w:t>
      </w:r>
      <w:r w:rsidRPr="00067267">
        <w:rPr>
          <w:rFonts w:cs="Calibri"/>
          <w:noProof/>
          <w:szCs w:val="24"/>
        </w:rPr>
        <w:t>. John Willey &amp; Sons.</w:t>
      </w:r>
    </w:p>
    <w:p w:rsidR="000322CE" w:rsidRPr="00067267" w:rsidRDefault="00866B0F" w:rsidP="003042C6">
      <w:pPr>
        <w:widowControl w:val="0"/>
        <w:autoSpaceDE w:val="0"/>
        <w:autoSpaceDN w:val="0"/>
        <w:adjustRightInd w:val="0"/>
        <w:spacing w:after="0" w:line="240" w:lineRule="auto"/>
        <w:ind w:left="480" w:hanging="480"/>
        <w:rPr>
          <w:rStyle w:val="Hyperlink"/>
          <w:rFonts w:cs="Calibri"/>
          <w:noProof/>
          <w:szCs w:val="24"/>
          <w:u w:val="none"/>
        </w:rPr>
      </w:pPr>
      <w:hyperlink r:id="rId50" w:history="1">
        <w:r w:rsidR="000322CE" w:rsidRPr="00067267">
          <w:rPr>
            <w:rStyle w:val="Hyperlink"/>
            <w:rFonts w:cs="Calibri"/>
            <w:noProof/>
            <w:szCs w:val="24"/>
            <w:u w:val="none"/>
          </w:rPr>
          <w:t xml:space="preserve">Skousen, C. J., &amp; Twedt, B. J. (2009). Fraud score analysis in emerging markets. </w:t>
        </w:r>
        <w:r w:rsidR="000322CE" w:rsidRPr="00067267">
          <w:rPr>
            <w:rStyle w:val="Hyperlink"/>
            <w:rFonts w:cs="Calibri"/>
            <w:i/>
            <w:iCs/>
            <w:noProof/>
            <w:szCs w:val="24"/>
            <w:u w:val="none"/>
          </w:rPr>
          <w:t>Cross Cultural Management: An International Journal</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16</w:t>
        </w:r>
        <w:r w:rsidR="000322CE" w:rsidRPr="00067267">
          <w:rPr>
            <w:rStyle w:val="Hyperlink"/>
            <w:rFonts w:cs="Calibri"/>
            <w:noProof/>
            <w:szCs w:val="24"/>
            <w:u w:val="none"/>
          </w:rPr>
          <w:t>(3), 301–316. https://doi.org/10.1108/13527600910977373</w:t>
        </w:r>
      </w:hyperlink>
    </w:p>
    <w:p w:rsidR="00067267" w:rsidRPr="00067267" w:rsidRDefault="00067267" w:rsidP="00067267">
      <w:pPr>
        <w:widowControl w:val="0"/>
        <w:autoSpaceDE w:val="0"/>
        <w:autoSpaceDN w:val="0"/>
        <w:adjustRightInd w:val="0"/>
        <w:spacing w:after="0" w:line="240" w:lineRule="auto"/>
        <w:ind w:left="480" w:hanging="480"/>
        <w:rPr>
          <w:rFonts w:cs="Calibri"/>
          <w:noProof/>
          <w:color w:val="0563C1"/>
          <w:szCs w:val="24"/>
          <w:lang w:val="en-US"/>
        </w:rPr>
      </w:pPr>
      <w:hyperlink r:id="rId51" w:history="1">
        <w:r w:rsidRPr="00067267">
          <w:rPr>
            <w:rStyle w:val="Hyperlink"/>
            <w:rFonts w:cs="Calibri"/>
            <w:noProof/>
            <w:szCs w:val="24"/>
            <w:u w:val="none"/>
            <w:lang w:val="en-US"/>
          </w:rPr>
          <w:t xml:space="preserve">Srivastava, R. P., Mock, T. J., &amp; Turner, J. L. (2009). Bayesian fraud risk formula for financial statement audits. </w:t>
        </w:r>
        <w:r w:rsidRPr="00067267">
          <w:rPr>
            <w:rStyle w:val="Hyperlink"/>
            <w:rFonts w:cs="Calibri"/>
            <w:i/>
            <w:iCs/>
            <w:noProof/>
            <w:szCs w:val="24"/>
            <w:u w:val="none"/>
            <w:lang w:val="en-US"/>
          </w:rPr>
          <w:t>Abacus</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45</w:t>
        </w:r>
        <w:r w:rsidRPr="00067267">
          <w:rPr>
            <w:rStyle w:val="Hyperlink"/>
            <w:rFonts w:cs="Calibri"/>
            <w:noProof/>
            <w:szCs w:val="24"/>
            <w:u w:val="none"/>
            <w:lang w:val="en-US"/>
          </w:rPr>
          <w:t>(1), 66–87. https://doi.org/10.1111/j.1467-6281.2009.00278.x</w:t>
        </w:r>
      </w:hyperlink>
    </w:p>
    <w:p w:rsidR="00067267" w:rsidRPr="00067267" w:rsidRDefault="00067267" w:rsidP="003042C6">
      <w:pPr>
        <w:widowControl w:val="0"/>
        <w:autoSpaceDE w:val="0"/>
        <w:autoSpaceDN w:val="0"/>
        <w:adjustRightInd w:val="0"/>
        <w:spacing w:after="0" w:line="240" w:lineRule="auto"/>
        <w:ind w:left="480" w:hanging="480"/>
        <w:rPr>
          <w:rFonts w:cs="Calibri"/>
          <w:noProof/>
          <w:szCs w:val="24"/>
        </w:rPr>
      </w:pPr>
      <w:hyperlink r:id="rId52" w:history="1">
        <w:r w:rsidRPr="00067267">
          <w:rPr>
            <w:rStyle w:val="Hyperlink"/>
            <w:rFonts w:cs="Calibri"/>
            <w:noProof/>
            <w:szCs w:val="24"/>
            <w:u w:val="none"/>
          </w:rPr>
          <w:t>Sugi</w:t>
        </w:r>
        <w:r w:rsidRPr="00067267">
          <w:rPr>
            <w:rStyle w:val="Hyperlink"/>
            <w:rFonts w:cs="Calibri"/>
            <w:noProof/>
            <w:szCs w:val="24"/>
            <w:u w:val="none"/>
            <w:lang w:val="en-US"/>
          </w:rPr>
          <w:t>y</w:t>
        </w:r>
        <w:r w:rsidRPr="00067267">
          <w:rPr>
            <w:rStyle w:val="Hyperlink"/>
            <w:rFonts w:cs="Calibri"/>
            <w:noProof/>
            <w:szCs w:val="24"/>
            <w:u w:val="none"/>
          </w:rPr>
          <w:t>ono, S. (2004). Konsep, identifikasi, alat analisis dan masalah penggunaan variabel moderator. </w:t>
        </w:r>
        <w:r w:rsidRPr="00067267">
          <w:rPr>
            <w:rStyle w:val="Hyperlink"/>
            <w:rFonts w:cs="Calibri"/>
            <w:i/>
            <w:iCs/>
            <w:noProof/>
            <w:szCs w:val="24"/>
            <w:u w:val="none"/>
          </w:rPr>
          <w:t>Jurnal Studi Manajemen Organisasi</w:t>
        </w:r>
        <w:r w:rsidRPr="00067267">
          <w:rPr>
            <w:rStyle w:val="Hyperlink"/>
            <w:rFonts w:cs="Calibri"/>
            <w:noProof/>
            <w:szCs w:val="24"/>
            <w:u w:val="none"/>
          </w:rPr>
          <w:t>, </w:t>
        </w:r>
        <w:r w:rsidRPr="00067267">
          <w:rPr>
            <w:rStyle w:val="Hyperlink"/>
            <w:rFonts w:cs="Calibri"/>
            <w:i/>
            <w:iCs/>
            <w:noProof/>
            <w:szCs w:val="24"/>
            <w:u w:val="none"/>
          </w:rPr>
          <w:t>1</w:t>
        </w:r>
        <w:r w:rsidRPr="00067267">
          <w:rPr>
            <w:rStyle w:val="Hyperlink"/>
            <w:rFonts w:cs="Calibri"/>
            <w:noProof/>
            <w:szCs w:val="24"/>
            <w:u w:val="none"/>
          </w:rPr>
          <w:t>(2), 61-70.</w:t>
        </w:r>
      </w:hyperlink>
    </w:p>
    <w:p w:rsidR="00067267" w:rsidRPr="00067267" w:rsidRDefault="00067267" w:rsidP="00067267">
      <w:pPr>
        <w:widowControl w:val="0"/>
        <w:autoSpaceDE w:val="0"/>
        <w:autoSpaceDN w:val="0"/>
        <w:adjustRightInd w:val="0"/>
        <w:spacing w:after="0" w:line="240" w:lineRule="auto"/>
        <w:ind w:left="480" w:hanging="480"/>
        <w:rPr>
          <w:rFonts w:cs="Calibri"/>
          <w:noProof/>
          <w:szCs w:val="24"/>
          <w:lang w:val="en-US"/>
        </w:rPr>
      </w:pPr>
      <w:hyperlink r:id="rId53" w:history="1">
        <w:r w:rsidRPr="00067267">
          <w:rPr>
            <w:rStyle w:val="Hyperlink"/>
            <w:rFonts w:cs="Calibri"/>
            <w:noProof/>
            <w:szCs w:val="24"/>
            <w:u w:val="none"/>
            <w:lang w:val="en-US"/>
          </w:rPr>
          <w:t xml:space="preserve">Summers, S. L., &amp; Sweeney, J. T. (1998). Fraudulently misstated financial statements and insider trading: An empirical analysis. </w:t>
        </w:r>
        <w:r w:rsidRPr="00067267">
          <w:rPr>
            <w:rStyle w:val="Hyperlink"/>
            <w:rFonts w:cs="Calibri"/>
            <w:i/>
            <w:iCs/>
            <w:noProof/>
            <w:szCs w:val="24"/>
            <w:u w:val="none"/>
            <w:lang w:val="en-US"/>
          </w:rPr>
          <w:t>Accounting Review</w:t>
        </w:r>
        <w:r w:rsidRPr="00067267">
          <w:rPr>
            <w:rStyle w:val="Hyperlink"/>
            <w:rFonts w:cs="Calibri"/>
            <w:noProof/>
            <w:szCs w:val="24"/>
            <w:u w:val="none"/>
            <w:lang w:val="en-US"/>
          </w:rPr>
          <w:t xml:space="preserve">, </w:t>
        </w:r>
        <w:r w:rsidRPr="00067267">
          <w:rPr>
            <w:rStyle w:val="Hyperlink"/>
            <w:rFonts w:cs="Calibri"/>
            <w:i/>
            <w:iCs/>
            <w:noProof/>
            <w:szCs w:val="24"/>
            <w:u w:val="none"/>
            <w:lang w:val="en-US"/>
          </w:rPr>
          <w:t>73</w:t>
        </w:r>
        <w:r w:rsidRPr="00067267">
          <w:rPr>
            <w:rStyle w:val="Hyperlink"/>
            <w:rFonts w:cs="Calibri"/>
            <w:noProof/>
            <w:szCs w:val="24"/>
            <w:u w:val="none"/>
            <w:lang w:val="en-US"/>
          </w:rPr>
          <w:t>(1), 131–146.</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54" w:history="1">
        <w:r w:rsidR="000322CE" w:rsidRPr="00067267">
          <w:rPr>
            <w:rStyle w:val="Hyperlink"/>
            <w:rFonts w:cs="Calibri"/>
            <w:noProof/>
            <w:szCs w:val="24"/>
            <w:u w:val="none"/>
          </w:rPr>
          <w:t xml:space="preserve">Sutton, S. (2014). Theory of planned behaviour. In </w:t>
        </w:r>
        <w:r w:rsidR="000322CE" w:rsidRPr="00067267">
          <w:rPr>
            <w:rStyle w:val="Hyperlink"/>
            <w:rFonts w:cs="Calibri"/>
            <w:i/>
            <w:iCs/>
            <w:noProof/>
            <w:szCs w:val="24"/>
            <w:u w:val="none"/>
          </w:rPr>
          <w:t>Cambridge Handbook of Psychology, Health and Medicine, Second Edition</w:t>
        </w:r>
        <w:r w:rsidR="000322CE" w:rsidRPr="00067267">
          <w:rPr>
            <w:rStyle w:val="Hyperlink"/>
            <w:rFonts w:cs="Calibri"/>
            <w:noProof/>
            <w:szCs w:val="24"/>
            <w:u w:val="none"/>
          </w:rPr>
          <w:t>. https://doi.org/10.1017/CBO9780511543579.049</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55" w:history="1">
        <w:r w:rsidR="00EE45B4" w:rsidRPr="00067267">
          <w:rPr>
            <w:rStyle w:val="Hyperlink"/>
            <w:rFonts w:cs="Calibri"/>
            <w:noProof/>
            <w:szCs w:val="24"/>
            <w:u w:val="none"/>
          </w:rPr>
          <w:t>Tao, F., &amp; Cheng, J. (2018). Digital twin-driven product design, manufacturing and service with big data. International Journal Adv. Manufacturing Technologies, 94(9–12), 3563–3576. https://doi.org/10.1007/s00170-017-0233-1</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56" w:history="1">
        <w:r w:rsidR="000322CE" w:rsidRPr="00067267">
          <w:rPr>
            <w:rStyle w:val="Hyperlink"/>
            <w:rFonts w:cs="Calibri"/>
            <w:noProof/>
            <w:szCs w:val="24"/>
            <w:u w:val="none"/>
          </w:rPr>
          <w:t xml:space="preserve">Thoben, K. ., &amp; Wiesner, S. (2017). Industrie 4.0 and smart manufacturing-a review of research issues and application examples. </w:t>
        </w:r>
        <w:r w:rsidR="000322CE" w:rsidRPr="00067267">
          <w:rPr>
            <w:rStyle w:val="Hyperlink"/>
            <w:rFonts w:cs="Calibri"/>
            <w:i/>
            <w:iCs/>
            <w:noProof/>
            <w:szCs w:val="24"/>
            <w:u w:val="none"/>
          </w:rPr>
          <w:t>International Journal Autom. Technologies</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11</w:t>
        </w:r>
        <w:r w:rsidR="000322CE" w:rsidRPr="00067267">
          <w:rPr>
            <w:rStyle w:val="Hyperlink"/>
            <w:rFonts w:cs="Calibri"/>
            <w:noProof/>
            <w:szCs w:val="24"/>
            <w:u w:val="none"/>
          </w:rPr>
          <w:t>(1), 4–16. https://www.fujipress.jp/ijat/au/ijate001100010004/</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57" w:history="1">
        <w:r w:rsidR="003269D0" w:rsidRPr="00067267">
          <w:rPr>
            <w:rStyle w:val="Hyperlink"/>
            <w:rFonts w:cs="Calibri"/>
            <w:noProof/>
            <w:szCs w:val="24"/>
            <w:u w:val="none"/>
          </w:rPr>
          <w:t>Tiffani, L., &amp; Marfuah. (2015). Deteksi financial stetement fraud : pengujian dengan fraud diamond. Akuntansi Dan Auditing Indonesia, 19(2), 112–125. http://doi.org/10.20885/jaai.vol19.iss2.art3</w:t>
        </w:r>
      </w:hyperlink>
    </w:p>
    <w:p w:rsidR="000322CE" w:rsidRPr="00067267" w:rsidRDefault="000322CE" w:rsidP="003042C6">
      <w:pPr>
        <w:widowControl w:val="0"/>
        <w:autoSpaceDE w:val="0"/>
        <w:autoSpaceDN w:val="0"/>
        <w:adjustRightInd w:val="0"/>
        <w:spacing w:after="0" w:line="240" w:lineRule="auto"/>
        <w:ind w:left="480" w:hanging="480"/>
        <w:rPr>
          <w:rFonts w:cs="Calibri"/>
          <w:noProof/>
          <w:szCs w:val="24"/>
        </w:rPr>
      </w:pPr>
      <w:r w:rsidRPr="00067267">
        <w:rPr>
          <w:rFonts w:cs="Calibri"/>
          <w:noProof/>
          <w:szCs w:val="24"/>
        </w:rPr>
        <w:t xml:space="preserve">Tuanakotta, T. M. (2009). </w:t>
      </w:r>
      <w:r w:rsidRPr="00067267">
        <w:rPr>
          <w:rFonts w:cs="Calibri"/>
          <w:i/>
          <w:iCs/>
          <w:noProof/>
          <w:szCs w:val="24"/>
        </w:rPr>
        <w:t>Akuntansi Forensik &amp; Audit Investigatif</w:t>
      </w:r>
      <w:r w:rsidRPr="00067267">
        <w:rPr>
          <w:rFonts w:cs="Calibri"/>
          <w:noProof/>
          <w:szCs w:val="24"/>
        </w:rPr>
        <w:t>. Salemba Empat.</w:t>
      </w:r>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58" w:history="1">
        <w:r w:rsidR="000322CE" w:rsidRPr="00067267">
          <w:rPr>
            <w:rStyle w:val="Hyperlink"/>
            <w:rFonts w:cs="Calibri"/>
            <w:noProof/>
            <w:szCs w:val="24"/>
            <w:u w:val="none"/>
          </w:rPr>
          <w:t xml:space="preserve">Ugochukwu, N., Emma, &amp; Azuibuike. (2013). Beneish model as effective complement to the aplication of SAS no. 99 in the conduct of audit in Nigeria. </w:t>
        </w:r>
        <w:r w:rsidR="000322CE" w:rsidRPr="00067267">
          <w:rPr>
            <w:rStyle w:val="Hyperlink"/>
            <w:rFonts w:cs="Calibri"/>
            <w:i/>
            <w:iCs/>
            <w:noProof/>
            <w:szCs w:val="24"/>
            <w:u w:val="none"/>
          </w:rPr>
          <w:t>Management and Administrative Sciences Review</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2</w:t>
        </w:r>
        <w:r w:rsidR="000322CE" w:rsidRPr="00067267">
          <w:rPr>
            <w:rStyle w:val="Hyperlink"/>
            <w:rFonts w:cs="Calibri"/>
            <w:noProof/>
            <w:szCs w:val="24"/>
            <w:u w:val="none"/>
          </w:rPr>
          <w:t>(6), 640–655.</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59" w:history="1">
        <w:r w:rsidR="000322CE" w:rsidRPr="00067267">
          <w:rPr>
            <w:rStyle w:val="Hyperlink"/>
            <w:rFonts w:cs="Calibri"/>
            <w:noProof/>
            <w:szCs w:val="24"/>
            <w:u w:val="none"/>
          </w:rPr>
          <w:t xml:space="preserve">Zahro, &amp; Yulia. (2018). Deteksi financial statement fraud dengan analisis fraud triangle pada perusahaan manufaktur. </w:t>
        </w:r>
        <w:r w:rsidR="000322CE" w:rsidRPr="00067267">
          <w:rPr>
            <w:rStyle w:val="Hyperlink"/>
            <w:rFonts w:cs="Calibri"/>
            <w:i/>
            <w:iCs/>
            <w:noProof/>
            <w:szCs w:val="24"/>
            <w:u w:val="none"/>
          </w:rPr>
          <w:t>Riset Akuntansi</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7</w:t>
        </w:r>
        <w:r w:rsidR="000322CE" w:rsidRPr="00067267">
          <w:rPr>
            <w:rStyle w:val="Hyperlink"/>
            <w:rFonts w:cs="Calibri"/>
            <w:noProof/>
            <w:szCs w:val="24"/>
            <w:u w:val="none"/>
          </w:rPr>
          <w:t>(9), 51–64.</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60" w:history="1">
        <w:r w:rsidR="000322CE" w:rsidRPr="00067267">
          <w:rPr>
            <w:rStyle w:val="Hyperlink"/>
            <w:rFonts w:cs="Calibri"/>
            <w:noProof/>
            <w:szCs w:val="24"/>
            <w:u w:val="none"/>
          </w:rPr>
          <w:t xml:space="preserve">Zanaria, Y. (2017). Pengaruh Aplikasi Teknologi, accounting reporting Terhadap </w:t>
        </w:r>
        <w:r w:rsidR="003269D0" w:rsidRPr="00067267">
          <w:rPr>
            <w:rStyle w:val="Hyperlink"/>
            <w:rFonts w:cs="Calibri"/>
            <w:noProof/>
            <w:szCs w:val="24"/>
            <w:u w:val="none"/>
          </w:rPr>
          <w:t>Pencegahan Fraud dan serta im</w:t>
        </w:r>
        <w:r w:rsidR="000322CE" w:rsidRPr="00067267">
          <w:rPr>
            <w:rStyle w:val="Hyperlink"/>
            <w:rFonts w:cs="Calibri"/>
            <w:noProof/>
            <w:szCs w:val="24"/>
            <w:u w:val="none"/>
          </w:rPr>
          <w:t xml:space="preserve">plikasinya terhadap reaksi investor. </w:t>
        </w:r>
        <w:r w:rsidR="000322CE" w:rsidRPr="00067267">
          <w:rPr>
            <w:rStyle w:val="Hyperlink"/>
            <w:rFonts w:cs="Calibri"/>
            <w:i/>
            <w:iCs/>
            <w:noProof/>
            <w:szCs w:val="24"/>
            <w:u w:val="none"/>
          </w:rPr>
          <w:t>Jurnal Akuisisi</w:t>
        </w:r>
        <w:r w:rsidR="000322CE" w:rsidRPr="00067267">
          <w:rPr>
            <w:rStyle w:val="Hyperlink"/>
            <w:rFonts w:cs="Calibri"/>
            <w:noProof/>
            <w:szCs w:val="24"/>
            <w:u w:val="none"/>
          </w:rPr>
          <w:t xml:space="preserve">, </w:t>
        </w:r>
        <w:r w:rsidR="000322CE" w:rsidRPr="00067267">
          <w:rPr>
            <w:rStyle w:val="Hyperlink"/>
            <w:rFonts w:cs="Calibri"/>
            <w:i/>
            <w:iCs/>
            <w:noProof/>
            <w:szCs w:val="24"/>
            <w:u w:val="none"/>
          </w:rPr>
          <w:t>13</w:t>
        </w:r>
        <w:r w:rsidR="000322CE" w:rsidRPr="00067267">
          <w:rPr>
            <w:rStyle w:val="Hyperlink"/>
            <w:rFonts w:cs="Calibri"/>
            <w:noProof/>
            <w:szCs w:val="24"/>
            <w:u w:val="none"/>
          </w:rPr>
          <w:t>(1), 91–100.</w:t>
        </w:r>
      </w:hyperlink>
    </w:p>
    <w:p w:rsidR="000322CE" w:rsidRPr="00067267" w:rsidRDefault="00866B0F" w:rsidP="003042C6">
      <w:pPr>
        <w:widowControl w:val="0"/>
        <w:autoSpaceDE w:val="0"/>
        <w:autoSpaceDN w:val="0"/>
        <w:adjustRightInd w:val="0"/>
        <w:spacing w:after="0" w:line="240" w:lineRule="auto"/>
        <w:ind w:left="480" w:hanging="480"/>
        <w:rPr>
          <w:rFonts w:cs="Calibri"/>
          <w:noProof/>
          <w:szCs w:val="24"/>
        </w:rPr>
      </w:pPr>
      <w:hyperlink r:id="rId61" w:history="1">
        <w:r w:rsidR="000322CE" w:rsidRPr="00067267">
          <w:rPr>
            <w:rStyle w:val="Hyperlink"/>
            <w:rFonts w:cs="Calibri"/>
            <w:noProof/>
            <w:szCs w:val="24"/>
            <w:u w:val="none"/>
          </w:rPr>
          <w:t xml:space="preserve">Zhong, &amp; Zheng. (2017). Re-ranking person re-identification with k-reciprocal encoding. </w:t>
        </w:r>
        <w:r w:rsidR="000322CE" w:rsidRPr="00067267">
          <w:rPr>
            <w:rStyle w:val="Hyperlink"/>
            <w:rFonts w:cs="Calibri"/>
            <w:i/>
            <w:iCs/>
            <w:noProof/>
            <w:szCs w:val="24"/>
            <w:u w:val="none"/>
          </w:rPr>
          <w:t>Proceedings - 30th IEEE Conference on Computer Vision and Pattern Recognition, CVPR 2017</w:t>
        </w:r>
        <w:r w:rsidR="000322CE" w:rsidRPr="00067267">
          <w:rPr>
            <w:rStyle w:val="Hyperlink"/>
            <w:rFonts w:cs="Calibri"/>
            <w:noProof/>
            <w:szCs w:val="24"/>
            <w:u w:val="none"/>
          </w:rPr>
          <w:t>. https://doi.org/10.1109/CVPR.2017.389</w:t>
        </w:r>
      </w:hyperlink>
    </w:p>
    <w:p w:rsidR="000322CE" w:rsidRPr="00067267" w:rsidRDefault="000322CE" w:rsidP="003042C6">
      <w:pPr>
        <w:widowControl w:val="0"/>
        <w:autoSpaceDE w:val="0"/>
        <w:autoSpaceDN w:val="0"/>
        <w:adjustRightInd w:val="0"/>
        <w:spacing w:after="0" w:line="240" w:lineRule="auto"/>
        <w:ind w:left="480" w:hanging="480"/>
        <w:rPr>
          <w:rFonts w:cs="Calibri"/>
          <w:noProof/>
        </w:rPr>
      </w:pPr>
      <w:r w:rsidRPr="00067267">
        <w:rPr>
          <w:rFonts w:cs="Calibri"/>
          <w:noProof/>
          <w:szCs w:val="24"/>
        </w:rPr>
        <w:t xml:space="preserve">Zimbelman, M. F., Albrecht, C. C., Albrecht, W. S., &amp; Albrecht, C. O. (2012). </w:t>
      </w:r>
      <w:r w:rsidRPr="00067267">
        <w:rPr>
          <w:rFonts w:cs="Calibri"/>
          <w:i/>
          <w:iCs/>
          <w:noProof/>
          <w:szCs w:val="24"/>
        </w:rPr>
        <w:t>Forensic Accounting</w:t>
      </w:r>
      <w:r w:rsidRPr="00067267">
        <w:rPr>
          <w:rFonts w:cs="Calibri"/>
          <w:noProof/>
          <w:szCs w:val="24"/>
        </w:rPr>
        <w:t xml:space="preserve"> (4th editio</w:t>
      </w:r>
      <w:r w:rsidR="003042C6" w:rsidRPr="00067267">
        <w:rPr>
          <w:rFonts w:cs="Calibri"/>
          <w:noProof/>
          <w:szCs w:val="24"/>
          <w:lang w:val="en-US"/>
        </w:rPr>
        <w:t>n</w:t>
      </w:r>
      <w:r w:rsidRPr="00067267">
        <w:rPr>
          <w:rFonts w:cs="Calibri"/>
          <w:noProof/>
          <w:szCs w:val="24"/>
        </w:rPr>
        <w:t>). Cengange Learning.</w:t>
      </w:r>
    </w:p>
    <w:p w:rsidR="00D338D4" w:rsidRPr="00067267" w:rsidRDefault="00D338D4" w:rsidP="004E0439">
      <w:pPr>
        <w:widowControl w:val="0"/>
        <w:autoSpaceDE w:val="0"/>
        <w:autoSpaceDN w:val="0"/>
        <w:adjustRightInd w:val="0"/>
        <w:spacing w:after="0" w:line="240" w:lineRule="auto"/>
        <w:ind w:left="480" w:hanging="480"/>
        <w:rPr>
          <w:lang w:val="en-US"/>
        </w:rPr>
      </w:pPr>
      <w:r w:rsidRPr="00067267">
        <w:rPr>
          <w:lang w:val="en-US"/>
        </w:rPr>
        <w:fldChar w:fldCharType="end"/>
      </w:r>
    </w:p>
    <w:p w:rsidR="00BE1B00" w:rsidRPr="00067267" w:rsidRDefault="00BE1B00" w:rsidP="00083308">
      <w:pPr>
        <w:autoSpaceDE w:val="0"/>
        <w:autoSpaceDN w:val="0"/>
        <w:adjustRightInd w:val="0"/>
        <w:spacing w:after="0" w:line="240" w:lineRule="auto"/>
        <w:ind w:left="709" w:hanging="709"/>
        <w:contextualSpacing/>
        <w:jc w:val="both"/>
        <w:rPr>
          <w:lang w:val="en-US"/>
        </w:rPr>
      </w:pPr>
    </w:p>
    <w:p w:rsidR="000361F4" w:rsidRPr="00067267" w:rsidRDefault="000361F4" w:rsidP="00083308">
      <w:pPr>
        <w:autoSpaceDE w:val="0"/>
        <w:autoSpaceDN w:val="0"/>
        <w:adjustRightInd w:val="0"/>
        <w:spacing w:after="0" w:line="240" w:lineRule="auto"/>
        <w:ind w:left="709" w:hanging="709"/>
        <w:contextualSpacing/>
        <w:jc w:val="both"/>
        <w:rPr>
          <w:rFonts w:ascii="Garamond" w:hAnsi="Garamond" w:cs="Calibri"/>
        </w:rPr>
      </w:pPr>
    </w:p>
    <w:sectPr w:rsidR="000361F4" w:rsidRPr="00067267" w:rsidSect="001329EC">
      <w:headerReference w:type="even" r:id="rId62"/>
      <w:headerReference w:type="default" r:id="rId63"/>
      <w:footerReference w:type="even" r:id="rId64"/>
      <w:footerReference w:type="default" r:id="rId65"/>
      <w:headerReference w:type="first" r:id="rId66"/>
      <w:pgSz w:w="11906" w:h="16838" w:code="9"/>
      <w:pgMar w:top="1418" w:right="1985" w:bottom="1843" w:left="1985" w:header="1418" w:footer="1021" w:gutter="0"/>
      <w:pgNumType w:start="9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3AF" w:rsidRDefault="00DE43AF">
      <w:pPr>
        <w:spacing w:after="0" w:line="240" w:lineRule="auto"/>
      </w:pPr>
      <w:r>
        <w:separator/>
      </w:r>
    </w:p>
  </w:endnote>
  <w:endnote w:type="continuationSeparator" w:id="0">
    <w:p w:rsidR="00DE43AF" w:rsidRDefault="00DE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B4" w:rsidRPr="00536F14" w:rsidRDefault="00C47FB4" w:rsidP="00536F14">
    <w:pPr>
      <w:pStyle w:val="Header"/>
      <w:jc w:val="center"/>
      <w:rPr>
        <w:rFonts w:ascii="Calibri Light" w:hAnsi="Calibri Light"/>
        <w:color w:val="000000"/>
        <w:sz w:val="20"/>
        <w:szCs w:val="18"/>
      </w:rPr>
    </w:pPr>
    <w:r w:rsidRPr="00BD0DD1">
      <w:rPr>
        <w:rFonts w:ascii="Calibri Light" w:hAnsi="Calibri Light"/>
        <w:b/>
        <w:bCs/>
        <w:color w:val="000000"/>
        <w:sz w:val="20"/>
        <w:szCs w:val="18"/>
      </w:rPr>
      <w:t>Jurnal Ilmiah Akuntansi dan Bisnis</w:t>
    </w:r>
    <w:r w:rsidRPr="002D7766">
      <w:rPr>
        <w:rFonts w:ascii="Calibri Light" w:hAnsi="Calibri Light"/>
        <w:color w:val="000000"/>
        <w:sz w:val="20"/>
        <w:szCs w:val="18"/>
      </w:rPr>
      <w:t>, 20</w:t>
    </w:r>
    <w:r>
      <w:rPr>
        <w:rFonts w:ascii="Calibri Light" w:hAnsi="Calibri Light"/>
        <w:color w:val="000000"/>
        <w:sz w:val="20"/>
        <w:szCs w:val="18"/>
        <w:lang w:val="en-US"/>
      </w:rPr>
      <w:t>21</w:t>
    </w:r>
    <w:r w:rsidRPr="002D7766">
      <w:rPr>
        <w:rFonts w:ascii="Calibri Light" w:hAnsi="Calibri Light"/>
        <w:color w:val="000000"/>
        <w:sz w:val="20"/>
        <w:szCs w:val="18"/>
      </w:rPr>
      <w:t xml:space="preserve"> | </w:t>
    </w:r>
    <w:r w:rsidRPr="002D7766">
      <w:rPr>
        <w:rFonts w:ascii="Calibri Light" w:hAnsi="Calibri Light"/>
        <w:color w:val="000000"/>
        <w:sz w:val="20"/>
        <w:szCs w:val="18"/>
      </w:rPr>
      <w:fldChar w:fldCharType="begin"/>
    </w:r>
    <w:r w:rsidRPr="002D7766">
      <w:rPr>
        <w:rFonts w:ascii="Calibri Light" w:hAnsi="Calibri Light"/>
        <w:color w:val="000000"/>
        <w:sz w:val="20"/>
        <w:szCs w:val="18"/>
      </w:rPr>
      <w:instrText xml:space="preserve"> PAGE   \* MERGEFORMAT </w:instrText>
    </w:r>
    <w:r w:rsidRPr="002D7766">
      <w:rPr>
        <w:rFonts w:ascii="Calibri Light" w:hAnsi="Calibri Light"/>
        <w:color w:val="000000"/>
        <w:sz w:val="20"/>
        <w:szCs w:val="18"/>
      </w:rPr>
      <w:fldChar w:fldCharType="separate"/>
    </w:r>
    <w:r w:rsidR="002C747A">
      <w:rPr>
        <w:rFonts w:ascii="Calibri Light" w:hAnsi="Calibri Light"/>
        <w:noProof/>
        <w:color w:val="000000"/>
        <w:sz w:val="20"/>
        <w:szCs w:val="18"/>
      </w:rPr>
      <w:t>98</w:t>
    </w:r>
    <w:r w:rsidRPr="002D7766">
      <w:rPr>
        <w:rFonts w:ascii="Calibri Light" w:hAnsi="Calibri Light"/>
        <w:noProof/>
        <w:color w:val="000000"/>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B4" w:rsidRPr="002E009A" w:rsidRDefault="00C47FB4" w:rsidP="002E009A">
    <w:pPr>
      <w:pStyle w:val="Header"/>
      <w:jc w:val="center"/>
      <w:rPr>
        <w:rFonts w:ascii="Calibri Light" w:hAnsi="Calibri Light"/>
        <w:color w:val="000000"/>
        <w:sz w:val="20"/>
        <w:szCs w:val="18"/>
      </w:rPr>
    </w:pPr>
    <w:r w:rsidRPr="00BD0DD1">
      <w:rPr>
        <w:rFonts w:ascii="Calibri Light" w:hAnsi="Calibri Light"/>
        <w:b/>
        <w:bCs/>
        <w:color w:val="000000"/>
        <w:sz w:val="20"/>
        <w:szCs w:val="18"/>
      </w:rPr>
      <w:t>Jurnal Ilmiah Akuntansi dan Bisnis</w:t>
    </w:r>
    <w:r w:rsidRPr="002D7766">
      <w:rPr>
        <w:rFonts w:ascii="Calibri Light" w:hAnsi="Calibri Light"/>
        <w:color w:val="000000"/>
        <w:sz w:val="20"/>
        <w:szCs w:val="18"/>
      </w:rPr>
      <w:t>, 20</w:t>
    </w:r>
    <w:r>
      <w:rPr>
        <w:rFonts w:ascii="Calibri Light" w:hAnsi="Calibri Light"/>
        <w:color w:val="000000"/>
        <w:sz w:val="20"/>
        <w:szCs w:val="18"/>
        <w:lang w:val="en-US"/>
      </w:rPr>
      <w:t>21</w:t>
    </w:r>
    <w:r w:rsidRPr="002D7766">
      <w:rPr>
        <w:rFonts w:ascii="Calibri Light" w:hAnsi="Calibri Light"/>
        <w:color w:val="000000"/>
        <w:sz w:val="20"/>
        <w:szCs w:val="18"/>
      </w:rPr>
      <w:t xml:space="preserve"> | </w:t>
    </w:r>
    <w:r w:rsidRPr="002D7766">
      <w:rPr>
        <w:rFonts w:ascii="Calibri Light" w:hAnsi="Calibri Light"/>
        <w:color w:val="000000"/>
        <w:sz w:val="20"/>
        <w:szCs w:val="18"/>
      </w:rPr>
      <w:fldChar w:fldCharType="begin"/>
    </w:r>
    <w:r w:rsidRPr="002D7766">
      <w:rPr>
        <w:rFonts w:ascii="Calibri Light" w:hAnsi="Calibri Light"/>
        <w:color w:val="000000"/>
        <w:sz w:val="20"/>
        <w:szCs w:val="18"/>
      </w:rPr>
      <w:instrText xml:space="preserve"> PAGE   \* MERGEFORMAT </w:instrText>
    </w:r>
    <w:r w:rsidRPr="002D7766">
      <w:rPr>
        <w:rFonts w:ascii="Calibri Light" w:hAnsi="Calibri Light"/>
        <w:color w:val="000000"/>
        <w:sz w:val="20"/>
        <w:szCs w:val="18"/>
      </w:rPr>
      <w:fldChar w:fldCharType="separate"/>
    </w:r>
    <w:r w:rsidR="002C747A">
      <w:rPr>
        <w:rFonts w:ascii="Calibri Light" w:hAnsi="Calibri Light"/>
        <w:noProof/>
        <w:color w:val="000000"/>
        <w:sz w:val="20"/>
        <w:szCs w:val="18"/>
      </w:rPr>
      <w:t>99</w:t>
    </w:r>
    <w:r w:rsidRPr="002D7766">
      <w:rPr>
        <w:rFonts w:ascii="Calibri Light" w:hAnsi="Calibri Light"/>
        <w:noProof/>
        <w:color w:val="00000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3AF" w:rsidRDefault="00DE43AF">
      <w:pPr>
        <w:spacing w:after="0" w:line="240" w:lineRule="auto"/>
      </w:pPr>
      <w:r>
        <w:separator/>
      </w:r>
    </w:p>
  </w:footnote>
  <w:footnote w:type="continuationSeparator" w:id="0">
    <w:p w:rsidR="00DE43AF" w:rsidRDefault="00DE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B4" w:rsidRPr="002E009A" w:rsidRDefault="00C47FB4" w:rsidP="00996CFC">
    <w:pPr>
      <w:spacing w:after="0" w:line="240" w:lineRule="auto"/>
      <w:jc w:val="center"/>
      <w:rPr>
        <w:rFonts w:cs="Calibri"/>
        <w:b/>
        <w:sz w:val="20"/>
        <w:szCs w:val="20"/>
        <w:lang w:val="en-US"/>
      </w:rPr>
    </w:pPr>
    <w:r>
      <w:rPr>
        <w:rFonts w:cs="Calibri"/>
        <w:b/>
        <w:sz w:val="20"/>
        <w:szCs w:val="20"/>
        <w:lang w:val="en-US"/>
      </w:rPr>
      <w:t xml:space="preserve">Mappadang &amp; Yulianyah </w:t>
    </w:r>
  </w:p>
  <w:p w:rsidR="00C47FB4" w:rsidRPr="00A16D61" w:rsidRDefault="00C47FB4" w:rsidP="00536F14">
    <w:pPr>
      <w:spacing w:after="0" w:line="240" w:lineRule="auto"/>
      <w:jc w:val="center"/>
      <w:rPr>
        <w:rFonts w:cs="Calibri"/>
        <w:sz w:val="20"/>
        <w:szCs w:val="20"/>
      </w:rPr>
    </w:pPr>
    <w:r w:rsidRPr="00A16D61">
      <w:rPr>
        <w:rFonts w:cs="Calibri"/>
        <w:sz w:val="20"/>
        <w:szCs w:val="20"/>
        <w:lang w:val="en-US"/>
      </w:rPr>
      <w:t>Trigger Factors of Fraud Triangle Towards Fraudulent On Financial Reporting Moderated b</w:t>
    </w:r>
    <w:r>
      <w:rPr>
        <w:rFonts w:cs="Calibri"/>
        <w:sz w:val="20"/>
        <w:szCs w:val="20"/>
        <w:lang w:val="en-US"/>
      </w:rPr>
      <w:t>y Integration o</w:t>
    </w:r>
    <w:r w:rsidRPr="00A16D61">
      <w:rPr>
        <w:rFonts w:cs="Calibri"/>
        <w:sz w:val="20"/>
        <w:szCs w:val="20"/>
        <w:lang w:val="en-US"/>
      </w:rPr>
      <w:t>f Technology Industry 4.0</w:t>
    </w:r>
  </w:p>
  <w:p w:rsidR="00C47FB4" w:rsidRDefault="00C4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B4" w:rsidRPr="002E009A" w:rsidRDefault="00C47FB4" w:rsidP="00A16D61">
    <w:pPr>
      <w:spacing w:after="0" w:line="240" w:lineRule="auto"/>
      <w:jc w:val="center"/>
      <w:rPr>
        <w:rFonts w:cs="Calibri"/>
        <w:b/>
        <w:sz w:val="20"/>
        <w:szCs w:val="20"/>
        <w:lang w:val="en-US"/>
      </w:rPr>
    </w:pPr>
    <w:r>
      <w:rPr>
        <w:rFonts w:cs="Calibri"/>
        <w:b/>
        <w:sz w:val="20"/>
        <w:szCs w:val="20"/>
        <w:lang w:val="en-US"/>
      </w:rPr>
      <w:t xml:space="preserve">Mappadang &amp; Yulianyah </w:t>
    </w:r>
  </w:p>
  <w:p w:rsidR="00C47FB4" w:rsidRPr="00CA3E3E" w:rsidRDefault="00C47FB4" w:rsidP="00A16D61">
    <w:pPr>
      <w:spacing w:after="0" w:line="240" w:lineRule="auto"/>
      <w:jc w:val="center"/>
      <w:rPr>
        <w:rFonts w:cs="Calibri"/>
        <w:sz w:val="20"/>
        <w:szCs w:val="20"/>
      </w:rPr>
    </w:pPr>
    <w:r w:rsidRPr="00A16D61">
      <w:rPr>
        <w:rFonts w:cs="Calibri"/>
        <w:sz w:val="20"/>
        <w:szCs w:val="20"/>
        <w:lang w:val="en-US"/>
      </w:rPr>
      <w:t>Trigger Factors of Fraud Triangle Towards Fraudulent On Financial Reporting Moderated b</w:t>
    </w:r>
    <w:r>
      <w:rPr>
        <w:rFonts w:cs="Calibri"/>
        <w:sz w:val="20"/>
        <w:szCs w:val="20"/>
        <w:lang w:val="en-US"/>
      </w:rPr>
      <w:t>y Integration o</w:t>
    </w:r>
    <w:r w:rsidRPr="00A16D61">
      <w:rPr>
        <w:rFonts w:cs="Calibri"/>
        <w:sz w:val="20"/>
        <w:szCs w:val="20"/>
        <w:lang w:val="en-US"/>
      </w:rPr>
      <w:t>f Technology Industry 4.0</w:t>
    </w:r>
  </w:p>
  <w:p w:rsidR="00C47FB4" w:rsidRDefault="00C47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B4" w:rsidRPr="00A25188" w:rsidRDefault="00C47FB4" w:rsidP="002C1959">
    <w:pPr>
      <w:ind w:left="-709" w:right="-711"/>
      <w:rPr>
        <w:rFonts w:cs="Calibri"/>
        <w:color w:val="C00000"/>
        <w:sz w:val="28"/>
        <w:szCs w:val="28"/>
        <w:lang w:val="en-US"/>
      </w:rPr>
    </w:pPr>
    <w:r w:rsidRPr="00A25188">
      <w:rPr>
        <w:rFonts w:cs="Calibri"/>
        <w:noProof/>
        <w:color w:val="808080"/>
        <w:sz w:val="28"/>
        <w:szCs w:val="28"/>
        <w:lang w:val="en-US"/>
      </w:rPr>
      <mc:AlternateContent>
        <mc:Choice Requires="wps">
          <w:drawing>
            <wp:anchor distT="0" distB="0" distL="114300" distR="114300" simplePos="0" relativeHeight="251657728" behindDoc="0" locked="0" layoutInCell="1" allowOverlap="1">
              <wp:simplePos x="0" y="0"/>
              <wp:positionH relativeFrom="column">
                <wp:posOffset>-1378585</wp:posOffset>
              </wp:positionH>
              <wp:positionV relativeFrom="paragraph">
                <wp:posOffset>276860</wp:posOffset>
              </wp:positionV>
              <wp:extent cx="8133715" cy="0"/>
              <wp:effectExtent l="24765" t="24765" r="23495" b="22860"/>
              <wp:wrapNone/>
              <wp:docPr id="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3715" cy="0"/>
                      </a:xfrm>
                      <a:prstGeom prst="straightConnector1">
                        <a:avLst/>
                      </a:prstGeom>
                      <a:noFill/>
                      <a:ln w="38100">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DB389" id="_x0000_t32" coordsize="21600,21600" o:spt="32" o:oned="t" path="m,l21600,21600e" filled="f">
              <v:path arrowok="t" fillok="f" o:connecttype="none"/>
              <o:lock v:ext="edit" shapetype="t"/>
            </v:shapetype>
            <v:shape id="Straight Arrow Connector 7" o:spid="_x0000_s1026" type="#_x0000_t32" style="position:absolute;margin-left:-108.55pt;margin-top:21.8pt;width:64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" strokecolor="#e36c0a" strokeweight="3pt"/>
          </w:pict>
        </mc:Fallback>
      </mc:AlternateContent>
    </w:r>
    <w:r w:rsidRPr="00A25188">
      <w:rPr>
        <w:rFonts w:cs="Calibri"/>
        <w:bCs/>
        <w:color w:val="808080"/>
        <w:sz w:val="28"/>
        <w:szCs w:val="28"/>
        <w:lang w:val="en-US"/>
      </w:rPr>
      <w:t xml:space="preserve">Jurnal Ilmiah Akuntansi dan Bisnis </w:t>
    </w:r>
    <w:r w:rsidRPr="00A25188">
      <w:rPr>
        <w:rFonts w:cs="Calibri"/>
        <w:bCs/>
        <w:color w:val="808080"/>
        <w:sz w:val="28"/>
        <w:szCs w:val="28"/>
        <w:lang w:val="en-US"/>
      </w:rPr>
      <w:tab/>
    </w:r>
    <w:r w:rsidRPr="00A25188">
      <w:rPr>
        <w:rFonts w:cs="Calibri"/>
        <w:bCs/>
        <w:color w:val="808080"/>
        <w:sz w:val="28"/>
        <w:szCs w:val="28"/>
        <w:lang w:val="en-US"/>
      </w:rPr>
      <w:tab/>
    </w:r>
    <w:r w:rsidRPr="00A25188">
      <w:rPr>
        <w:rFonts w:cs="Calibri"/>
        <w:color w:val="C00000"/>
        <w:sz w:val="28"/>
        <w:szCs w:val="28"/>
        <w:lang w:val="en-US"/>
      </w:rPr>
      <w:tab/>
    </w:r>
    <w:r>
      <w:rPr>
        <w:rFonts w:cs="Calibri"/>
        <w:color w:val="808080"/>
        <w:sz w:val="28"/>
        <w:szCs w:val="28"/>
        <w:lang w:val="en-US"/>
      </w:rPr>
      <w:t>Vol. 16 No. 1, January 2021</w:t>
    </w:r>
    <w:r w:rsidRPr="00A25188">
      <w:rPr>
        <w:rFonts w:cs="Calibri"/>
        <w:color w:val="C00000"/>
        <w:sz w:val="28"/>
        <w:szCs w:val="2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4C6"/>
    <w:multiLevelType w:val="hybridMultilevel"/>
    <w:tmpl w:val="F630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526F"/>
    <w:multiLevelType w:val="hybridMultilevel"/>
    <w:tmpl w:val="574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158C9"/>
    <w:multiLevelType w:val="hybridMultilevel"/>
    <w:tmpl w:val="F3EEA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5E1689"/>
    <w:multiLevelType w:val="hybridMultilevel"/>
    <w:tmpl w:val="893C3BB4"/>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4" w15:restartNumberingAfterBreak="0">
    <w:nsid w:val="23BF1A76"/>
    <w:multiLevelType w:val="hybridMultilevel"/>
    <w:tmpl w:val="BD5AA0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4EC2CDD"/>
    <w:multiLevelType w:val="hybridMultilevel"/>
    <w:tmpl w:val="5556540C"/>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6" w15:restartNumberingAfterBreak="0">
    <w:nsid w:val="27326A49"/>
    <w:multiLevelType w:val="hybridMultilevel"/>
    <w:tmpl w:val="781E8C14"/>
    <w:lvl w:ilvl="0" w:tplc="D25A612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D667109"/>
    <w:multiLevelType w:val="hybridMultilevel"/>
    <w:tmpl w:val="C644A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70A3FCA"/>
    <w:multiLevelType w:val="hybridMultilevel"/>
    <w:tmpl w:val="C9F08F6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2A1051"/>
    <w:multiLevelType w:val="hybridMultilevel"/>
    <w:tmpl w:val="170ED88C"/>
    <w:lvl w:ilvl="0" w:tplc="8A3CB9CA">
      <w:numFmt w:val="bullet"/>
      <w:lvlText w:val="•"/>
      <w:lvlJc w:val="left"/>
      <w:pPr>
        <w:ind w:left="108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E07D8C"/>
    <w:multiLevelType w:val="hybridMultilevel"/>
    <w:tmpl w:val="28387516"/>
    <w:lvl w:ilvl="0" w:tplc="DDAA5AF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C973BE4"/>
    <w:multiLevelType w:val="multilevel"/>
    <w:tmpl w:val="3C973BE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180DCE"/>
    <w:multiLevelType w:val="hybridMultilevel"/>
    <w:tmpl w:val="9F8681C0"/>
    <w:lvl w:ilvl="0" w:tplc="6A3E4236">
      <w:numFmt w:val="bullet"/>
      <w:lvlText w:val="•"/>
      <w:lvlJc w:val="left"/>
      <w:pPr>
        <w:ind w:left="637" w:hanging="360"/>
      </w:pPr>
      <w:rPr>
        <w:rFonts w:ascii="Calibri" w:eastAsia="Times New Roman" w:hAnsi="Calibri" w:cs="Calibri"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3" w15:restartNumberingAfterBreak="0">
    <w:nsid w:val="43696376"/>
    <w:multiLevelType w:val="hybridMultilevel"/>
    <w:tmpl w:val="C638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82092"/>
    <w:multiLevelType w:val="hybridMultilevel"/>
    <w:tmpl w:val="60A4E2C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053475C"/>
    <w:multiLevelType w:val="hybridMultilevel"/>
    <w:tmpl w:val="AE20A5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2820C6C"/>
    <w:multiLevelType w:val="hybridMultilevel"/>
    <w:tmpl w:val="DFA07B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2E1FB1"/>
    <w:multiLevelType w:val="hybridMultilevel"/>
    <w:tmpl w:val="1A54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B60B4"/>
    <w:multiLevelType w:val="hybridMultilevel"/>
    <w:tmpl w:val="EEEC853C"/>
    <w:lvl w:ilvl="0" w:tplc="42BC94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EB71CD"/>
    <w:multiLevelType w:val="hybridMultilevel"/>
    <w:tmpl w:val="48B8355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92E7FC0"/>
    <w:multiLevelType w:val="hybridMultilevel"/>
    <w:tmpl w:val="A060F89E"/>
    <w:lvl w:ilvl="0" w:tplc="3DAA19B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6AF2208B"/>
    <w:multiLevelType w:val="hybridMultilevel"/>
    <w:tmpl w:val="097C582E"/>
    <w:lvl w:ilvl="0" w:tplc="0409000F">
      <w:start w:val="1"/>
      <w:numFmt w:val="decimal"/>
      <w:lvlText w:val="%1."/>
      <w:lvlJc w:val="left"/>
      <w:pPr>
        <w:ind w:left="1530" w:hanging="360"/>
      </w:pPr>
    </w:lvl>
    <w:lvl w:ilvl="1" w:tplc="72E8C624">
      <w:numFmt w:val="bullet"/>
      <w:lvlText w:val="•"/>
      <w:lvlJc w:val="left"/>
      <w:pPr>
        <w:ind w:left="2250" w:hanging="360"/>
      </w:pPr>
      <w:rPr>
        <w:rFonts w:ascii="Calibri" w:eastAsia="SimSun" w:hAnsi="Calibri" w:cs="Calibri"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CC8012E"/>
    <w:multiLevelType w:val="hybridMultilevel"/>
    <w:tmpl w:val="4044D340"/>
    <w:lvl w:ilvl="0" w:tplc="D124E53C">
      <w:numFmt w:val="bullet"/>
      <w:lvlText w:val="•"/>
      <w:lvlJc w:val="left"/>
      <w:pPr>
        <w:ind w:left="460" w:hanging="360"/>
      </w:pPr>
      <w:rPr>
        <w:rFonts w:ascii="Times New Roman" w:eastAsia="Times New Roman" w:hAnsi="Times New Roman" w:cs="Times New Roman" w:hint="default"/>
        <w:color w:val="auto"/>
        <w:w w:val="97"/>
        <w:sz w:val="24"/>
        <w:szCs w:val="24"/>
        <w:lang w:val="en-US" w:eastAsia="en-US" w:bidi="en-US"/>
      </w:rPr>
    </w:lvl>
    <w:lvl w:ilvl="1" w:tplc="DD6280B2">
      <w:numFmt w:val="bullet"/>
      <w:lvlText w:val="•"/>
      <w:lvlJc w:val="left"/>
      <w:pPr>
        <w:ind w:left="1372" w:hanging="360"/>
      </w:pPr>
      <w:rPr>
        <w:lang w:val="en-US" w:eastAsia="en-US" w:bidi="en-US"/>
      </w:rPr>
    </w:lvl>
    <w:lvl w:ilvl="2" w:tplc="C79C4D0E">
      <w:numFmt w:val="bullet"/>
      <w:lvlText w:val="•"/>
      <w:lvlJc w:val="left"/>
      <w:pPr>
        <w:ind w:left="2284" w:hanging="360"/>
      </w:pPr>
      <w:rPr>
        <w:lang w:val="en-US" w:eastAsia="en-US" w:bidi="en-US"/>
      </w:rPr>
    </w:lvl>
    <w:lvl w:ilvl="3" w:tplc="7286218C">
      <w:numFmt w:val="bullet"/>
      <w:lvlText w:val="•"/>
      <w:lvlJc w:val="left"/>
      <w:pPr>
        <w:ind w:left="3196" w:hanging="360"/>
      </w:pPr>
      <w:rPr>
        <w:lang w:val="en-US" w:eastAsia="en-US" w:bidi="en-US"/>
      </w:rPr>
    </w:lvl>
    <w:lvl w:ilvl="4" w:tplc="40F2F3DA">
      <w:numFmt w:val="bullet"/>
      <w:lvlText w:val="•"/>
      <w:lvlJc w:val="left"/>
      <w:pPr>
        <w:ind w:left="4108" w:hanging="360"/>
      </w:pPr>
      <w:rPr>
        <w:lang w:val="en-US" w:eastAsia="en-US" w:bidi="en-US"/>
      </w:rPr>
    </w:lvl>
    <w:lvl w:ilvl="5" w:tplc="7FFEA0BE">
      <w:numFmt w:val="bullet"/>
      <w:lvlText w:val="•"/>
      <w:lvlJc w:val="left"/>
      <w:pPr>
        <w:ind w:left="5020" w:hanging="360"/>
      </w:pPr>
      <w:rPr>
        <w:lang w:val="en-US" w:eastAsia="en-US" w:bidi="en-US"/>
      </w:rPr>
    </w:lvl>
    <w:lvl w:ilvl="6" w:tplc="0E0C30E6">
      <w:numFmt w:val="bullet"/>
      <w:lvlText w:val="•"/>
      <w:lvlJc w:val="left"/>
      <w:pPr>
        <w:ind w:left="5932" w:hanging="360"/>
      </w:pPr>
      <w:rPr>
        <w:lang w:val="en-US" w:eastAsia="en-US" w:bidi="en-US"/>
      </w:rPr>
    </w:lvl>
    <w:lvl w:ilvl="7" w:tplc="58DE8EF0">
      <w:numFmt w:val="bullet"/>
      <w:lvlText w:val="•"/>
      <w:lvlJc w:val="left"/>
      <w:pPr>
        <w:ind w:left="6844" w:hanging="360"/>
      </w:pPr>
      <w:rPr>
        <w:lang w:val="en-US" w:eastAsia="en-US" w:bidi="en-US"/>
      </w:rPr>
    </w:lvl>
    <w:lvl w:ilvl="8" w:tplc="25E2BF06">
      <w:numFmt w:val="bullet"/>
      <w:lvlText w:val="•"/>
      <w:lvlJc w:val="left"/>
      <w:pPr>
        <w:ind w:left="7756" w:hanging="360"/>
      </w:pPr>
      <w:rPr>
        <w:lang w:val="en-US" w:eastAsia="en-US" w:bidi="en-US"/>
      </w:rPr>
    </w:lvl>
  </w:abstractNum>
  <w:abstractNum w:abstractNumId="23" w15:restartNumberingAfterBreak="0">
    <w:nsid w:val="6F044825"/>
    <w:multiLevelType w:val="multilevel"/>
    <w:tmpl w:val="6F044825"/>
    <w:lvl w:ilvl="0">
      <w:start w:val="1"/>
      <w:numFmt w:val="lowerLetter"/>
      <w:lvlText w:val="%1."/>
      <w:lvlJc w:val="left"/>
      <w:pPr>
        <w:ind w:left="107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6F5142B4"/>
    <w:multiLevelType w:val="hybridMultilevel"/>
    <w:tmpl w:val="0C160D6C"/>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25" w15:restartNumberingAfterBreak="0">
    <w:nsid w:val="71744DBA"/>
    <w:multiLevelType w:val="hybridMultilevel"/>
    <w:tmpl w:val="9564A5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3AE339D"/>
    <w:multiLevelType w:val="hybridMultilevel"/>
    <w:tmpl w:val="A8429C00"/>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27" w15:restartNumberingAfterBreak="0">
    <w:nsid w:val="76BB2A09"/>
    <w:multiLevelType w:val="hybridMultilevel"/>
    <w:tmpl w:val="9582322C"/>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8" w15:restartNumberingAfterBreak="0">
    <w:nsid w:val="7CD4310B"/>
    <w:multiLevelType w:val="hybridMultilevel"/>
    <w:tmpl w:val="4BD459E0"/>
    <w:lvl w:ilvl="0" w:tplc="6A3E4236">
      <w:numFmt w:val="bullet"/>
      <w:lvlText w:val="•"/>
      <w:lvlJc w:val="left"/>
      <w:pPr>
        <w:ind w:left="1357"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96429A"/>
    <w:multiLevelType w:val="hybridMultilevel"/>
    <w:tmpl w:val="912CD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D06EC"/>
    <w:multiLevelType w:val="hybridMultilevel"/>
    <w:tmpl w:val="8C041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3"/>
  </w:num>
  <w:num w:numId="3">
    <w:abstractNumId w:val="17"/>
  </w:num>
  <w:num w:numId="4">
    <w:abstractNumId w:val="8"/>
  </w:num>
  <w:num w:numId="5">
    <w:abstractNumId w:val="15"/>
  </w:num>
  <w:num w:numId="6">
    <w:abstractNumId w:val="10"/>
  </w:num>
  <w:num w:numId="7">
    <w:abstractNumId w:val="2"/>
  </w:num>
  <w:num w:numId="8">
    <w:abstractNumId w:val="6"/>
  </w:num>
  <w:num w:numId="9">
    <w:abstractNumId w:val="1"/>
  </w:num>
  <w:num w:numId="10">
    <w:abstractNumId w:val="21"/>
  </w:num>
  <w:num w:numId="11">
    <w:abstractNumId w:val="7"/>
  </w:num>
  <w:num w:numId="12">
    <w:abstractNumId w:val="5"/>
  </w:num>
  <w:num w:numId="13">
    <w:abstractNumId w:val="26"/>
  </w:num>
  <w:num w:numId="14">
    <w:abstractNumId w:val="24"/>
  </w:num>
  <w:num w:numId="15">
    <w:abstractNumId w:val="29"/>
  </w:num>
  <w:num w:numId="16">
    <w:abstractNumId w:val="12"/>
  </w:num>
  <w:num w:numId="17">
    <w:abstractNumId w:val="28"/>
  </w:num>
  <w:num w:numId="18">
    <w:abstractNumId w:val="9"/>
  </w:num>
  <w:num w:numId="19">
    <w:abstractNumId w:val="27"/>
  </w:num>
  <w:num w:numId="20">
    <w:abstractNumId w:val="3"/>
  </w:num>
  <w:num w:numId="21">
    <w:abstractNumId w:val="30"/>
  </w:num>
  <w:num w:numId="22">
    <w:abstractNumId w:val="0"/>
  </w:num>
  <w:num w:numId="23">
    <w:abstractNumId w:val="13"/>
  </w:num>
  <w:num w:numId="24">
    <w:abstractNumId w:val="19"/>
  </w:num>
  <w:num w:numId="25">
    <w:abstractNumId w:val="4"/>
  </w:num>
  <w:num w:numId="26">
    <w:abstractNumId w:val="14"/>
  </w:num>
  <w:num w:numId="27">
    <w:abstractNumId w:val="2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NTa1MDQ1NDMxMDBQ0lEKTi0uzszPAykwMqwFAAd4ED4tAAAA"/>
  </w:docVars>
  <w:rsids>
    <w:rsidRoot w:val="00CF0B36"/>
    <w:rsid w:val="00006D00"/>
    <w:rsid w:val="00011F7D"/>
    <w:rsid w:val="0001363F"/>
    <w:rsid w:val="0001438C"/>
    <w:rsid w:val="0002382F"/>
    <w:rsid w:val="00027EBC"/>
    <w:rsid w:val="00031B05"/>
    <w:rsid w:val="000322CE"/>
    <w:rsid w:val="000342EA"/>
    <w:rsid w:val="000361F4"/>
    <w:rsid w:val="0004329E"/>
    <w:rsid w:val="00045181"/>
    <w:rsid w:val="0004581D"/>
    <w:rsid w:val="00045F79"/>
    <w:rsid w:val="000478A1"/>
    <w:rsid w:val="00051E5D"/>
    <w:rsid w:val="0005336D"/>
    <w:rsid w:val="000548DF"/>
    <w:rsid w:val="000645FF"/>
    <w:rsid w:val="0006513D"/>
    <w:rsid w:val="00065931"/>
    <w:rsid w:val="00065D71"/>
    <w:rsid w:val="00067267"/>
    <w:rsid w:val="00070F1C"/>
    <w:rsid w:val="00075450"/>
    <w:rsid w:val="0007610A"/>
    <w:rsid w:val="000803F8"/>
    <w:rsid w:val="00083308"/>
    <w:rsid w:val="000844F9"/>
    <w:rsid w:val="0008700E"/>
    <w:rsid w:val="00087701"/>
    <w:rsid w:val="00092DB2"/>
    <w:rsid w:val="00093A19"/>
    <w:rsid w:val="00093A1F"/>
    <w:rsid w:val="00094EE2"/>
    <w:rsid w:val="00095424"/>
    <w:rsid w:val="0009592B"/>
    <w:rsid w:val="0009601A"/>
    <w:rsid w:val="000963BF"/>
    <w:rsid w:val="000A068C"/>
    <w:rsid w:val="000A594A"/>
    <w:rsid w:val="000A64E9"/>
    <w:rsid w:val="000B725C"/>
    <w:rsid w:val="000B7E75"/>
    <w:rsid w:val="000C04DD"/>
    <w:rsid w:val="000C7457"/>
    <w:rsid w:val="000D249E"/>
    <w:rsid w:val="000D3BFC"/>
    <w:rsid w:val="000D55BD"/>
    <w:rsid w:val="000D6B81"/>
    <w:rsid w:val="000D7978"/>
    <w:rsid w:val="000E27C3"/>
    <w:rsid w:val="000E68EE"/>
    <w:rsid w:val="000E6B53"/>
    <w:rsid w:val="000E7F19"/>
    <w:rsid w:val="000F5CE9"/>
    <w:rsid w:val="00101F6B"/>
    <w:rsid w:val="0010357A"/>
    <w:rsid w:val="00103BB6"/>
    <w:rsid w:val="00105416"/>
    <w:rsid w:val="00105C60"/>
    <w:rsid w:val="001124FA"/>
    <w:rsid w:val="001132BF"/>
    <w:rsid w:val="00113337"/>
    <w:rsid w:val="00120795"/>
    <w:rsid w:val="001329EC"/>
    <w:rsid w:val="0014006E"/>
    <w:rsid w:val="00140276"/>
    <w:rsid w:val="00142A3D"/>
    <w:rsid w:val="001466C6"/>
    <w:rsid w:val="00153A1C"/>
    <w:rsid w:val="00156630"/>
    <w:rsid w:val="00157A6C"/>
    <w:rsid w:val="001707C3"/>
    <w:rsid w:val="001720FC"/>
    <w:rsid w:val="00175CE6"/>
    <w:rsid w:val="001779A8"/>
    <w:rsid w:val="00180E08"/>
    <w:rsid w:val="001870B8"/>
    <w:rsid w:val="0018760F"/>
    <w:rsid w:val="0019288B"/>
    <w:rsid w:val="00193A3F"/>
    <w:rsid w:val="001A08B7"/>
    <w:rsid w:val="001A370F"/>
    <w:rsid w:val="001A5B1B"/>
    <w:rsid w:val="001B35F0"/>
    <w:rsid w:val="001B3D9C"/>
    <w:rsid w:val="001B5F8D"/>
    <w:rsid w:val="001B69EB"/>
    <w:rsid w:val="001C1FD5"/>
    <w:rsid w:val="001C3A0E"/>
    <w:rsid w:val="001C4B8B"/>
    <w:rsid w:val="001C7D52"/>
    <w:rsid w:val="001D3A06"/>
    <w:rsid w:val="001D6450"/>
    <w:rsid w:val="001D74F9"/>
    <w:rsid w:val="001E685F"/>
    <w:rsid w:val="001E6FE5"/>
    <w:rsid w:val="001F4FB9"/>
    <w:rsid w:val="002041CA"/>
    <w:rsid w:val="00206082"/>
    <w:rsid w:val="00215DCD"/>
    <w:rsid w:val="0022475D"/>
    <w:rsid w:val="002265B5"/>
    <w:rsid w:val="00227719"/>
    <w:rsid w:val="0023050D"/>
    <w:rsid w:val="00230F14"/>
    <w:rsid w:val="002335E9"/>
    <w:rsid w:val="002365CA"/>
    <w:rsid w:val="00236D15"/>
    <w:rsid w:val="0024164F"/>
    <w:rsid w:val="00243017"/>
    <w:rsid w:val="002443B2"/>
    <w:rsid w:val="0025688B"/>
    <w:rsid w:val="00266A6C"/>
    <w:rsid w:val="00267143"/>
    <w:rsid w:val="00270278"/>
    <w:rsid w:val="00271E5E"/>
    <w:rsid w:val="00275F52"/>
    <w:rsid w:val="00280AB8"/>
    <w:rsid w:val="00280B61"/>
    <w:rsid w:val="00282F27"/>
    <w:rsid w:val="002914CE"/>
    <w:rsid w:val="00291E3F"/>
    <w:rsid w:val="00295936"/>
    <w:rsid w:val="0029739D"/>
    <w:rsid w:val="002A1FA2"/>
    <w:rsid w:val="002A5729"/>
    <w:rsid w:val="002A59B8"/>
    <w:rsid w:val="002A5AA6"/>
    <w:rsid w:val="002A66BC"/>
    <w:rsid w:val="002B7743"/>
    <w:rsid w:val="002C1959"/>
    <w:rsid w:val="002C56DE"/>
    <w:rsid w:val="002C747A"/>
    <w:rsid w:val="002E009A"/>
    <w:rsid w:val="002E0233"/>
    <w:rsid w:val="002E0EB2"/>
    <w:rsid w:val="002E14EF"/>
    <w:rsid w:val="002E4EC4"/>
    <w:rsid w:val="002E7AA1"/>
    <w:rsid w:val="002F03FC"/>
    <w:rsid w:val="002F0FB4"/>
    <w:rsid w:val="002F4302"/>
    <w:rsid w:val="003011BA"/>
    <w:rsid w:val="00302A20"/>
    <w:rsid w:val="003042C6"/>
    <w:rsid w:val="003051E6"/>
    <w:rsid w:val="003105B8"/>
    <w:rsid w:val="003131D8"/>
    <w:rsid w:val="00317948"/>
    <w:rsid w:val="00320956"/>
    <w:rsid w:val="00324D14"/>
    <w:rsid w:val="003269D0"/>
    <w:rsid w:val="00334D89"/>
    <w:rsid w:val="00335AB4"/>
    <w:rsid w:val="00336710"/>
    <w:rsid w:val="00340D77"/>
    <w:rsid w:val="0034374E"/>
    <w:rsid w:val="00343968"/>
    <w:rsid w:val="00343D4D"/>
    <w:rsid w:val="0034600A"/>
    <w:rsid w:val="00346D77"/>
    <w:rsid w:val="00350B32"/>
    <w:rsid w:val="003512C9"/>
    <w:rsid w:val="003521C8"/>
    <w:rsid w:val="00352BB5"/>
    <w:rsid w:val="00356F7E"/>
    <w:rsid w:val="00357F5D"/>
    <w:rsid w:val="00361F58"/>
    <w:rsid w:val="00363477"/>
    <w:rsid w:val="00366AB2"/>
    <w:rsid w:val="00373167"/>
    <w:rsid w:val="003809BC"/>
    <w:rsid w:val="003833B2"/>
    <w:rsid w:val="00387EE5"/>
    <w:rsid w:val="00392244"/>
    <w:rsid w:val="00394F9C"/>
    <w:rsid w:val="0039602F"/>
    <w:rsid w:val="003A05C2"/>
    <w:rsid w:val="003A1B68"/>
    <w:rsid w:val="003A4D79"/>
    <w:rsid w:val="003A5C60"/>
    <w:rsid w:val="003B08E8"/>
    <w:rsid w:val="003B2369"/>
    <w:rsid w:val="003B336C"/>
    <w:rsid w:val="003B5243"/>
    <w:rsid w:val="003B6666"/>
    <w:rsid w:val="003B678A"/>
    <w:rsid w:val="003C0D33"/>
    <w:rsid w:val="003C3674"/>
    <w:rsid w:val="003C576E"/>
    <w:rsid w:val="003C72B0"/>
    <w:rsid w:val="003E3538"/>
    <w:rsid w:val="003F2D8A"/>
    <w:rsid w:val="003F371E"/>
    <w:rsid w:val="003F777D"/>
    <w:rsid w:val="00412C6C"/>
    <w:rsid w:val="00412E6E"/>
    <w:rsid w:val="00413CC9"/>
    <w:rsid w:val="00417ED3"/>
    <w:rsid w:val="00421383"/>
    <w:rsid w:val="004230C4"/>
    <w:rsid w:val="004265BF"/>
    <w:rsid w:val="00431B11"/>
    <w:rsid w:val="00434091"/>
    <w:rsid w:val="00440004"/>
    <w:rsid w:val="00446E9C"/>
    <w:rsid w:val="004528F7"/>
    <w:rsid w:val="00454DB7"/>
    <w:rsid w:val="00455B8D"/>
    <w:rsid w:val="00455C69"/>
    <w:rsid w:val="00466AEB"/>
    <w:rsid w:val="00480DEB"/>
    <w:rsid w:val="004821FD"/>
    <w:rsid w:val="00482A35"/>
    <w:rsid w:val="00483572"/>
    <w:rsid w:val="0048565E"/>
    <w:rsid w:val="0048588E"/>
    <w:rsid w:val="004A2FF2"/>
    <w:rsid w:val="004A3C08"/>
    <w:rsid w:val="004A438A"/>
    <w:rsid w:val="004A7BC6"/>
    <w:rsid w:val="004B0565"/>
    <w:rsid w:val="004B0C51"/>
    <w:rsid w:val="004B25F1"/>
    <w:rsid w:val="004B4239"/>
    <w:rsid w:val="004B6AD2"/>
    <w:rsid w:val="004C374B"/>
    <w:rsid w:val="004C5754"/>
    <w:rsid w:val="004C6DE0"/>
    <w:rsid w:val="004D78C8"/>
    <w:rsid w:val="004E0439"/>
    <w:rsid w:val="004E2666"/>
    <w:rsid w:val="004E2E34"/>
    <w:rsid w:val="004E5C73"/>
    <w:rsid w:val="00500468"/>
    <w:rsid w:val="00500EE1"/>
    <w:rsid w:val="0050211F"/>
    <w:rsid w:val="00505ADD"/>
    <w:rsid w:val="0050618A"/>
    <w:rsid w:val="0050632B"/>
    <w:rsid w:val="00511EEB"/>
    <w:rsid w:val="00524646"/>
    <w:rsid w:val="005260F6"/>
    <w:rsid w:val="00526A99"/>
    <w:rsid w:val="005300EB"/>
    <w:rsid w:val="00530C07"/>
    <w:rsid w:val="00531E97"/>
    <w:rsid w:val="00533259"/>
    <w:rsid w:val="00536F14"/>
    <w:rsid w:val="00540543"/>
    <w:rsid w:val="00543536"/>
    <w:rsid w:val="00553F62"/>
    <w:rsid w:val="00554D6C"/>
    <w:rsid w:val="00555E3F"/>
    <w:rsid w:val="0056141A"/>
    <w:rsid w:val="00566A11"/>
    <w:rsid w:val="00575204"/>
    <w:rsid w:val="00576F0F"/>
    <w:rsid w:val="0058134A"/>
    <w:rsid w:val="005857BB"/>
    <w:rsid w:val="00591829"/>
    <w:rsid w:val="005920C7"/>
    <w:rsid w:val="005953C3"/>
    <w:rsid w:val="00597763"/>
    <w:rsid w:val="005A6416"/>
    <w:rsid w:val="005B2654"/>
    <w:rsid w:val="005B292B"/>
    <w:rsid w:val="005B64CC"/>
    <w:rsid w:val="005C25CD"/>
    <w:rsid w:val="005C3AF3"/>
    <w:rsid w:val="005C5D52"/>
    <w:rsid w:val="005D25BF"/>
    <w:rsid w:val="005D402A"/>
    <w:rsid w:val="005D4873"/>
    <w:rsid w:val="005D723C"/>
    <w:rsid w:val="005E070C"/>
    <w:rsid w:val="005F2D2C"/>
    <w:rsid w:val="005F442A"/>
    <w:rsid w:val="005F773F"/>
    <w:rsid w:val="0060330A"/>
    <w:rsid w:val="006054EE"/>
    <w:rsid w:val="0062153A"/>
    <w:rsid w:val="006222B2"/>
    <w:rsid w:val="00624135"/>
    <w:rsid w:val="00624CC6"/>
    <w:rsid w:val="00626A8A"/>
    <w:rsid w:val="00630C32"/>
    <w:rsid w:val="0063205A"/>
    <w:rsid w:val="006364D7"/>
    <w:rsid w:val="00641612"/>
    <w:rsid w:val="006454EF"/>
    <w:rsid w:val="00647E2A"/>
    <w:rsid w:val="00651C83"/>
    <w:rsid w:val="00654CC0"/>
    <w:rsid w:val="006551C4"/>
    <w:rsid w:val="006638F0"/>
    <w:rsid w:val="00663D36"/>
    <w:rsid w:val="00665B60"/>
    <w:rsid w:val="00666FEE"/>
    <w:rsid w:val="006709A2"/>
    <w:rsid w:val="00671808"/>
    <w:rsid w:val="00671EB0"/>
    <w:rsid w:val="00673662"/>
    <w:rsid w:val="00674015"/>
    <w:rsid w:val="00677F71"/>
    <w:rsid w:val="0068113C"/>
    <w:rsid w:val="0068322A"/>
    <w:rsid w:val="00691187"/>
    <w:rsid w:val="006926EB"/>
    <w:rsid w:val="006A29F7"/>
    <w:rsid w:val="006A30CD"/>
    <w:rsid w:val="006A34C7"/>
    <w:rsid w:val="006B5412"/>
    <w:rsid w:val="006C2EEB"/>
    <w:rsid w:val="006C3595"/>
    <w:rsid w:val="006C4A6C"/>
    <w:rsid w:val="006D0544"/>
    <w:rsid w:val="006D2741"/>
    <w:rsid w:val="006E3991"/>
    <w:rsid w:val="006E3A62"/>
    <w:rsid w:val="006F1BCA"/>
    <w:rsid w:val="006F3219"/>
    <w:rsid w:val="0070062A"/>
    <w:rsid w:val="00700747"/>
    <w:rsid w:val="00703E42"/>
    <w:rsid w:val="00704D81"/>
    <w:rsid w:val="007063AF"/>
    <w:rsid w:val="007117F4"/>
    <w:rsid w:val="00711CBB"/>
    <w:rsid w:val="00714FA6"/>
    <w:rsid w:val="00715DD6"/>
    <w:rsid w:val="00715E6E"/>
    <w:rsid w:val="007212C7"/>
    <w:rsid w:val="00722186"/>
    <w:rsid w:val="00722469"/>
    <w:rsid w:val="00724567"/>
    <w:rsid w:val="00743AFA"/>
    <w:rsid w:val="00744763"/>
    <w:rsid w:val="00744C48"/>
    <w:rsid w:val="0075129E"/>
    <w:rsid w:val="00752F1D"/>
    <w:rsid w:val="0075320C"/>
    <w:rsid w:val="007547BB"/>
    <w:rsid w:val="00755FE8"/>
    <w:rsid w:val="007615DE"/>
    <w:rsid w:val="00764558"/>
    <w:rsid w:val="00766563"/>
    <w:rsid w:val="00770A6B"/>
    <w:rsid w:val="00770A73"/>
    <w:rsid w:val="007712C2"/>
    <w:rsid w:val="007758E7"/>
    <w:rsid w:val="00780E42"/>
    <w:rsid w:val="00783B18"/>
    <w:rsid w:val="0079534C"/>
    <w:rsid w:val="007A4194"/>
    <w:rsid w:val="007A7BC3"/>
    <w:rsid w:val="007B317F"/>
    <w:rsid w:val="007B38F2"/>
    <w:rsid w:val="007B4D79"/>
    <w:rsid w:val="007C0D73"/>
    <w:rsid w:val="007C0E8A"/>
    <w:rsid w:val="007C5E9C"/>
    <w:rsid w:val="007C6E56"/>
    <w:rsid w:val="007D1ED6"/>
    <w:rsid w:val="007D338E"/>
    <w:rsid w:val="007D4011"/>
    <w:rsid w:val="007D63B4"/>
    <w:rsid w:val="007D7AEC"/>
    <w:rsid w:val="007E1BEC"/>
    <w:rsid w:val="007E71B0"/>
    <w:rsid w:val="007F21D8"/>
    <w:rsid w:val="007F415D"/>
    <w:rsid w:val="007F55FD"/>
    <w:rsid w:val="007F7B5B"/>
    <w:rsid w:val="00800773"/>
    <w:rsid w:val="00802BF9"/>
    <w:rsid w:val="00805F17"/>
    <w:rsid w:val="00806BE6"/>
    <w:rsid w:val="008074E5"/>
    <w:rsid w:val="008147B7"/>
    <w:rsid w:val="008151D0"/>
    <w:rsid w:val="00830005"/>
    <w:rsid w:val="00833D8A"/>
    <w:rsid w:val="008414B4"/>
    <w:rsid w:val="00841E48"/>
    <w:rsid w:val="0084503C"/>
    <w:rsid w:val="00852543"/>
    <w:rsid w:val="00852E38"/>
    <w:rsid w:val="00853187"/>
    <w:rsid w:val="00855679"/>
    <w:rsid w:val="00861617"/>
    <w:rsid w:val="00866B0F"/>
    <w:rsid w:val="008730B3"/>
    <w:rsid w:val="0088008C"/>
    <w:rsid w:val="00882E42"/>
    <w:rsid w:val="008831EA"/>
    <w:rsid w:val="0088346D"/>
    <w:rsid w:val="00884A5F"/>
    <w:rsid w:val="008866F3"/>
    <w:rsid w:val="00895F0B"/>
    <w:rsid w:val="008A1220"/>
    <w:rsid w:val="008A19B8"/>
    <w:rsid w:val="008A42AD"/>
    <w:rsid w:val="008A474C"/>
    <w:rsid w:val="008B62E9"/>
    <w:rsid w:val="008C196B"/>
    <w:rsid w:val="008C3FDF"/>
    <w:rsid w:val="008C6D0D"/>
    <w:rsid w:val="008D52F0"/>
    <w:rsid w:val="008E1B6C"/>
    <w:rsid w:val="008E5B13"/>
    <w:rsid w:val="008E5FF6"/>
    <w:rsid w:val="008E7F48"/>
    <w:rsid w:val="008F73DE"/>
    <w:rsid w:val="008F7720"/>
    <w:rsid w:val="0090363A"/>
    <w:rsid w:val="00905E89"/>
    <w:rsid w:val="00910399"/>
    <w:rsid w:val="009127C7"/>
    <w:rsid w:val="00915BE0"/>
    <w:rsid w:val="00920A4D"/>
    <w:rsid w:val="00923000"/>
    <w:rsid w:val="0092712E"/>
    <w:rsid w:val="00930B1A"/>
    <w:rsid w:val="00932790"/>
    <w:rsid w:val="00932854"/>
    <w:rsid w:val="0093365A"/>
    <w:rsid w:val="0093664F"/>
    <w:rsid w:val="00946BAB"/>
    <w:rsid w:val="00950B9E"/>
    <w:rsid w:val="009539D1"/>
    <w:rsid w:val="00955F4E"/>
    <w:rsid w:val="00960F03"/>
    <w:rsid w:val="0096259D"/>
    <w:rsid w:val="00963D03"/>
    <w:rsid w:val="009650EB"/>
    <w:rsid w:val="00971FB5"/>
    <w:rsid w:val="00976390"/>
    <w:rsid w:val="0097661A"/>
    <w:rsid w:val="00980500"/>
    <w:rsid w:val="009832A5"/>
    <w:rsid w:val="00985D9E"/>
    <w:rsid w:val="00987131"/>
    <w:rsid w:val="00996CFC"/>
    <w:rsid w:val="009A0D33"/>
    <w:rsid w:val="009A295D"/>
    <w:rsid w:val="009A44C9"/>
    <w:rsid w:val="009B3BDA"/>
    <w:rsid w:val="009C55FD"/>
    <w:rsid w:val="009C5ED1"/>
    <w:rsid w:val="009C644A"/>
    <w:rsid w:val="009D2259"/>
    <w:rsid w:val="009D2473"/>
    <w:rsid w:val="009D6A07"/>
    <w:rsid w:val="009E0A69"/>
    <w:rsid w:val="009F4120"/>
    <w:rsid w:val="009F71C1"/>
    <w:rsid w:val="00A0219B"/>
    <w:rsid w:val="00A02B25"/>
    <w:rsid w:val="00A1017D"/>
    <w:rsid w:val="00A136D1"/>
    <w:rsid w:val="00A14096"/>
    <w:rsid w:val="00A16D61"/>
    <w:rsid w:val="00A25188"/>
    <w:rsid w:val="00A27585"/>
    <w:rsid w:val="00A33E85"/>
    <w:rsid w:val="00A35FF1"/>
    <w:rsid w:val="00A37482"/>
    <w:rsid w:val="00A4117B"/>
    <w:rsid w:val="00A440DC"/>
    <w:rsid w:val="00A46EF2"/>
    <w:rsid w:val="00A6355D"/>
    <w:rsid w:val="00A636C1"/>
    <w:rsid w:val="00A6737B"/>
    <w:rsid w:val="00A7414C"/>
    <w:rsid w:val="00A74385"/>
    <w:rsid w:val="00A8223B"/>
    <w:rsid w:val="00A82BC9"/>
    <w:rsid w:val="00A852E9"/>
    <w:rsid w:val="00A95ADB"/>
    <w:rsid w:val="00A9723A"/>
    <w:rsid w:val="00AA23A5"/>
    <w:rsid w:val="00AA5EB4"/>
    <w:rsid w:val="00AA5FC3"/>
    <w:rsid w:val="00AA7021"/>
    <w:rsid w:val="00AB4D1A"/>
    <w:rsid w:val="00AB50E3"/>
    <w:rsid w:val="00AB6742"/>
    <w:rsid w:val="00AC0CEE"/>
    <w:rsid w:val="00AC6DAD"/>
    <w:rsid w:val="00AD0313"/>
    <w:rsid w:val="00AD7556"/>
    <w:rsid w:val="00AE13E4"/>
    <w:rsid w:val="00AE70C4"/>
    <w:rsid w:val="00AE7229"/>
    <w:rsid w:val="00AF4E37"/>
    <w:rsid w:val="00AF6FCF"/>
    <w:rsid w:val="00B030E2"/>
    <w:rsid w:val="00B03731"/>
    <w:rsid w:val="00B07232"/>
    <w:rsid w:val="00B145E0"/>
    <w:rsid w:val="00B16CFF"/>
    <w:rsid w:val="00B237E2"/>
    <w:rsid w:val="00B30956"/>
    <w:rsid w:val="00B327E9"/>
    <w:rsid w:val="00B3490B"/>
    <w:rsid w:val="00B4304E"/>
    <w:rsid w:val="00B51C6A"/>
    <w:rsid w:val="00B545C8"/>
    <w:rsid w:val="00B5480B"/>
    <w:rsid w:val="00B55CCB"/>
    <w:rsid w:val="00B60957"/>
    <w:rsid w:val="00B62178"/>
    <w:rsid w:val="00B672DA"/>
    <w:rsid w:val="00B70A4B"/>
    <w:rsid w:val="00B70D13"/>
    <w:rsid w:val="00B7180B"/>
    <w:rsid w:val="00B8168B"/>
    <w:rsid w:val="00B825B2"/>
    <w:rsid w:val="00B92676"/>
    <w:rsid w:val="00B928BF"/>
    <w:rsid w:val="00B93944"/>
    <w:rsid w:val="00B94634"/>
    <w:rsid w:val="00B96DDC"/>
    <w:rsid w:val="00BA0589"/>
    <w:rsid w:val="00BA199F"/>
    <w:rsid w:val="00BA291A"/>
    <w:rsid w:val="00BA2EA3"/>
    <w:rsid w:val="00BA47A3"/>
    <w:rsid w:val="00BA4CF7"/>
    <w:rsid w:val="00BA4F61"/>
    <w:rsid w:val="00BA606D"/>
    <w:rsid w:val="00BB70B2"/>
    <w:rsid w:val="00BC383A"/>
    <w:rsid w:val="00BC4FEE"/>
    <w:rsid w:val="00BD0DD1"/>
    <w:rsid w:val="00BD5D61"/>
    <w:rsid w:val="00BD5ED1"/>
    <w:rsid w:val="00BE1B00"/>
    <w:rsid w:val="00BE2582"/>
    <w:rsid w:val="00BE2646"/>
    <w:rsid w:val="00BF0212"/>
    <w:rsid w:val="00BF30A5"/>
    <w:rsid w:val="00BF4048"/>
    <w:rsid w:val="00C1211E"/>
    <w:rsid w:val="00C12D01"/>
    <w:rsid w:val="00C21E16"/>
    <w:rsid w:val="00C35334"/>
    <w:rsid w:val="00C36A25"/>
    <w:rsid w:val="00C3707B"/>
    <w:rsid w:val="00C37D62"/>
    <w:rsid w:val="00C41AE9"/>
    <w:rsid w:val="00C47FB4"/>
    <w:rsid w:val="00C505BC"/>
    <w:rsid w:val="00C51BC0"/>
    <w:rsid w:val="00C527C8"/>
    <w:rsid w:val="00C568CB"/>
    <w:rsid w:val="00C6190B"/>
    <w:rsid w:val="00C62A05"/>
    <w:rsid w:val="00C70CFB"/>
    <w:rsid w:val="00C75E34"/>
    <w:rsid w:val="00C777D9"/>
    <w:rsid w:val="00C80163"/>
    <w:rsid w:val="00C825EA"/>
    <w:rsid w:val="00C85B5A"/>
    <w:rsid w:val="00C9423A"/>
    <w:rsid w:val="00C94E74"/>
    <w:rsid w:val="00C95474"/>
    <w:rsid w:val="00C95780"/>
    <w:rsid w:val="00CB30EE"/>
    <w:rsid w:val="00CB7117"/>
    <w:rsid w:val="00CC01ED"/>
    <w:rsid w:val="00CC3DC2"/>
    <w:rsid w:val="00CC6544"/>
    <w:rsid w:val="00CD3740"/>
    <w:rsid w:val="00CD5AB3"/>
    <w:rsid w:val="00CD60F4"/>
    <w:rsid w:val="00CD6868"/>
    <w:rsid w:val="00CE41B1"/>
    <w:rsid w:val="00CE4201"/>
    <w:rsid w:val="00CF0B36"/>
    <w:rsid w:val="00D00284"/>
    <w:rsid w:val="00D00B4B"/>
    <w:rsid w:val="00D07631"/>
    <w:rsid w:val="00D126F0"/>
    <w:rsid w:val="00D12B47"/>
    <w:rsid w:val="00D136EB"/>
    <w:rsid w:val="00D1405E"/>
    <w:rsid w:val="00D14222"/>
    <w:rsid w:val="00D326D8"/>
    <w:rsid w:val="00D338D4"/>
    <w:rsid w:val="00D34780"/>
    <w:rsid w:val="00D355C3"/>
    <w:rsid w:val="00D35A00"/>
    <w:rsid w:val="00D3640C"/>
    <w:rsid w:val="00D41CE5"/>
    <w:rsid w:val="00D53DDD"/>
    <w:rsid w:val="00D540EF"/>
    <w:rsid w:val="00D574C1"/>
    <w:rsid w:val="00D61341"/>
    <w:rsid w:val="00D65A8A"/>
    <w:rsid w:val="00D67690"/>
    <w:rsid w:val="00D708EA"/>
    <w:rsid w:val="00D71578"/>
    <w:rsid w:val="00D75F38"/>
    <w:rsid w:val="00D777D8"/>
    <w:rsid w:val="00D81852"/>
    <w:rsid w:val="00D82D60"/>
    <w:rsid w:val="00D9018E"/>
    <w:rsid w:val="00D913DD"/>
    <w:rsid w:val="00D91E99"/>
    <w:rsid w:val="00DA7590"/>
    <w:rsid w:val="00DB3951"/>
    <w:rsid w:val="00DB56C5"/>
    <w:rsid w:val="00DB5B3B"/>
    <w:rsid w:val="00DB6476"/>
    <w:rsid w:val="00DC0A01"/>
    <w:rsid w:val="00DC659E"/>
    <w:rsid w:val="00DD55AD"/>
    <w:rsid w:val="00DD608D"/>
    <w:rsid w:val="00DE43AF"/>
    <w:rsid w:val="00DE7080"/>
    <w:rsid w:val="00DF0D9C"/>
    <w:rsid w:val="00DF20C5"/>
    <w:rsid w:val="00DF4D17"/>
    <w:rsid w:val="00DF6E96"/>
    <w:rsid w:val="00DF71C9"/>
    <w:rsid w:val="00E01369"/>
    <w:rsid w:val="00E02CFB"/>
    <w:rsid w:val="00E12238"/>
    <w:rsid w:val="00E12B80"/>
    <w:rsid w:val="00E15E33"/>
    <w:rsid w:val="00E17EB1"/>
    <w:rsid w:val="00E2173F"/>
    <w:rsid w:val="00E26586"/>
    <w:rsid w:val="00E26742"/>
    <w:rsid w:val="00E269A6"/>
    <w:rsid w:val="00E2720F"/>
    <w:rsid w:val="00E27CF3"/>
    <w:rsid w:val="00E36986"/>
    <w:rsid w:val="00E541F6"/>
    <w:rsid w:val="00E55B27"/>
    <w:rsid w:val="00E60B5A"/>
    <w:rsid w:val="00E70CD1"/>
    <w:rsid w:val="00E71F9F"/>
    <w:rsid w:val="00E729C5"/>
    <w:rsid w:val="00E73F52"/>
    <w:rsid w:val="00E767F0"/>
    <w:rsid w:val="00E76EF9"/>
    <w:rsid w:val="00E77FB6"/>
    <w:rsid w:val="00E81EDE"/>
    <w:rsid w:val="00E828BD"/>
    <w:rsid w:val="00E91ADC"/>
    <w:rsid w:val="00E92412"/>
    <w:rsid w:val="00E95118"/>
    <w:rsid w:val="00EA4354"/>
    <w:rsid w:val="00EA5E2F"/>
    <w:rsid w:val="00EB0836"/>
    <w:rsid w:val="00EB172E"/>
    <w:rsid w:val="00EB7850"/>
    <w:rsid w:val="00EB7C96"/>
    <w:rsid w:val="00EB7DF7"/>
    <w:rsid w:val="00EC3E35"/>
    <w:rsid w:val="00EC51CD"/>
    <w:rsid w:val="00EC6B1D"/>
    <w:rsid w:val="00EC6EB2"/>
    <w:rsid w:val="00ED0D19"/>
    <w:rsid w:val="00ED3F57"/>
    <w:rsid w:val="00EE07FE"/>
    <w:rsid w:val="00EE0D35"/>
    <w:rsid w:val="00EE168D"/>
    <w:rsid w:val="00EE45B4"/>
    <w:rsid w:val="00EE4BE8"/>
    <w:rsid w:val="00EE5809"/>
    <w:rsid w:val="00EE636C"/>
    <w:rsid w:val="00EF2980"/>
    <w:rsid w:val="00F15F3F"/>
    <w:rsid w:val="00F32215"/>
    <w:rsid w:val="00F32DA8"/>
    <w:rsid w:val="00F3587E"/>
    <w:rsid w:val="00F35EB5"/>
    <w:rsid w:val="00F44692"/>
    <w:rsid w:val="00F45A96"/>
    <w:rsid w:val="00F546CF"/>
    <w:rsid w:val="00F63282"/>
    <w:rsid w:val="00F664B7"/>
    <w:rsid w:val="00F72E7F"/>
    <w:rsid w:val="00F77EBF"/>
    <w:rsid w:val="00F814CD"/>
    <w:rsid w:val="00F81C10"/>
    <w:rsid w:val="00F842C4"/>
    <w:rsid w:val="00F90223"/>
    <w:rsid w:val="00F92306"/>
    <w:rsid w:val="00F978E2"/>
    <w:rsid w:val="00FA2973"/>
    <w:rsid w:val="00FA61D7"/>
    <w:rsid w:val="00FB47CF"/>
    <w:rsid w:val="00FC3831"/>
    <w:rsid w:val="00FC41C2"/>
    <w:rsid w:val="00FD6268"/>
    <w:rsid w:val="00FE3AD6"/>
    <w:rsid w:val="00FE6747"/>
    <w:rsid w:val="00FF044A"/>
    <w:rsid w:val="00FF3AB8"/>
    <w:rsid w:val="00FF70F0"/>
    <w:rsid w:val="00FF7899"/>
    <w:rsid w:val="015D19A9"/>
    <w:rsid w:val="048E642B"/>
    <w:rsid w:val="05D024E2"/>
    <w:rsid w:val="154377A3"/>
    <w:rsid w:val="17007337"/>
    <w:rsid w:val="173776EC"/>
    <w:rsid w:val="174E5BB1"/>
    <w:rsid w:val="175D48F0"/>
    <w:rsid w:val="179A5288"/>
    <w:rsid w:val="17A177FB"/>
    <w:rsid w:val="1A246A0F"/>
    <w:rsid w:val="1ADD2781"/>
    <w:rsid w:val="1D7564D8"/>
    <w:rsid w:val="1FA16C78"/>
    <w:rsid w:val="22500C54"/>
    <w:rsid w:val="330955CA"/>
    <w:rsid w:val="34F4641E"/>
    <w:rsid w:val="3FBA108D"/>
    <w:rsid w:val="44467EC2"/>
    <w:rsid w:val="44762088"/>
    <w:rsid w:val="449E5F41"/>
    <w:rsid w:val="44A20C76"/>
    <w:rsid w:val="54F5630C"/>
    <w:rsid w:val="55831C5B"/>
    <w:rsid w:val="56661A29"/>
    <w:rsid w:val="587033B6"/>
    <w:rsid w:val="5C2A3B99"/>
    <w:rsid w:val="60126684"/>
    <w:rsid w:val="629A68B0"/>
    <w:rsid w:val="63961541"/>
    <w:rsid w:val="652F1E09"/>
    <w:rsid w:val="65BE2B76"/>
    <w:rsid w:val="66697A36"/>
    <w:rsid w:val="6E922E5D"/>
    <w:rsid w:val="724237CA"/>
    <w:rsid w:val="7AB03801"/>
    <w:rsid w:val="7BED6B51"/>
    <w:rsid w:val="7C493EF5"/>
    <w:rsid w:val="7ECA6CAD"/>
    <w:rsid w:val="7ED473F5"/>
    <w:rsid w:val="7FD8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BA5FA8"/>
  <w15:chartTrackingRefBased/>
  <w15:docId w15:val="{4127A9CF-D479-487F-9ED0-EB88D777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rsid w:val="0070062A"/>
    <w:pPr>
      <w:keepNext/>
      <w:spacing w:after="0" w:line="240" w:lineRule="auto"/>
      <w:ind w:left="482" w:hanging="482"/>
      <w:jc w:val="center"/>
      <w:outlineLvl w:val="0"/>
    </w:pPr>
    <w:rPr>
      <w:rFonts w:eastAsia="Times New Roman" w:cs="Times New Roman"/>
      <w:b/>
      <w:bCs/>
      <w:color w:val="000000"/>
      <w:kern w:val="32"/>
      <w:szCs w:val="32"/>
    </w:rPr>
  </w:style>
  <w:style w:type="paragraph" w:styleId="Heading2">
    <w:name w:val="heading 2"/>
    <w:basedOn w:val="Normal"/>
    <w:next w:val="Normal"/>
    <w:link w:val="Heading2Char"/>
    <w:uiPriority w:val="9"/>
    <w:unhideWhenUsed/>
    <w:qFormat/>
    <w:rsid w:val="006054EE"/>
    <w:pPr>
      <w:keepNext/>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Pr>
      <w:vertAlign w:val="superscript"/>
    </w:rPr>
  </w:style>
  <w:style w:type="character" w:styleId="Hyperlink">
    <w:name w:val="Hyperlink"/>
    <w:uiPriority w:val="99"/>
    <w:unhideWhenUsed/>
    <w:rPr>
      <w:color w:val="0563C1"/>
      <w:u w:val="singl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FootnoteTextChar">
    <w:name w:val="Footnote Text Char"/>
    <w:link w:val="FootnoteText"/>
    <w:qFormat/>
    <w:rPr>
      <w:lang w:val="id-ID"/>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nhideWhenUsed/>
    <w:qFormat/>
    <w:rPr>
      <w:sz w:val="20"/>
      <w:szCs w:val="20"/>
    </w:rPr>
  </w:style>
  <w:style w:type="paragraph" w:styleId="CommentText">
    <w:name w:val="annotation text"/>
    <w:basedOn w:val="Normal"/>
    <w:link w:val="CommentTextChar"/>
    <w:uiPriority w:val="99"/>
    <w:unhideWhenUsed/>
  </w:style>
  <w:style w:type="paragraph" w:styleId="ListParagraph">
    <w:name w:val="List Paragraph"/>
    <w:aliases w:val="List Paragraph 2,yukeu Subtitle 3"/>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id-I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43536"/>
    <w:rPr>
      <w:sz w:val="22"/>
      <w:szCs w:val="22"/>
      <w:lang w:val="id-ID"/>
    </w:rPr>
  </w:style>
  <w:style w:type="character" w:styleId="CommentReference">
    <w:name w:val="annotation reference"/>
    <w:uiPriority w:val="99"/>
    <w:semiHidden/>
    <w:unhideWhenUsed/>
    <w:rsid w:val="00C51BC0"/>
    <w:rPr>
      <w:sz w:val="16"/>
      <w:szCs w:val="16"/>
    </w:rPr>
  </w:style>
  <w:style w:type="paragraph" w:styleId="CommentSubject">
    <w:name w:val="annotation subject"/>
    <w:basedOn w:val="CommentText"/>
    <w:next w:val="CommentText"/>
    <w:link w:val="CommentSubjectChar"/>
    <w:uiPriority w:val="99"/>
    <w:semiHidden/>
    <w:unhideWhenUsed/>
    <w:rsid w:val="00C51BC0"/>
    <w:rPr>
      <w:b/>
      <w:bCs/>
      <w:sz w:val="20"/>
      <w:szCs w:val="20"/>
    </w:rPr>
  </w:style>
  <w:style w:type="character" w:customStyle="1" w:styleId="CommentTextChar">
    <w:name w:val="Comment Text Char"/>
    <w:link w:val="CommentText"/>
    <w:uiPriority w:val="99"/>
    <w:rsid w:val="00C51BC0"/>
    <w:rPr>
      <w:sz w:val="22"/>
      <w:szCs w:val="22"/>
      <w:lang w:val="id-ID"/>
    </w:rPr>
  </w:style>
  <w:style w:type="character" w:customStyle="1" w:styleId="CommentSubjectChar">
    <w:name w:val="Comment Subject Char"/>
    <w:link w:val="CommentSubject"/>
    <w:uiPriority w:val="99"/>
    <w:semiHidden/>
    <w:rsid w:val="00C51BC0"/>
    <w:rPr>
      <w:b/>
      <w:bCs/>
      <w:sz w:val="22"/>
      <w:szCs w:val="22"/>
      <w:lang w:val="id-ID"/>
    </w:rPr>
  </w:style>
  <w:style w:type="character" w:customStyle="1" w:styleId="Heading2Char">
    <w:name w:val="Heading 2 Char"/>
    <w:link w:val="Heading2"/>
    <w:uiPriority w:val="9"/>
    <w:rsid w:val="006054EE"/>
    <w:rPr>
      <w:rFonts w:ascii="Calibri Light" w:eastAsia="Times New Roman" w:hAnsi="Calibri Light" w:cs="Times New Roman"/>
      <w:b/>
      <w:bCs/>
      <w:i/>
      <w:iCs/>
      <w:sz w:val="28"/>
      <w:szCs w:val="28"/>
    </w:rPr>
  </w:style>
  <w:style w:type="character" w:customStyle="1" w:styleId="UnresolvedMention">
    <w:name w:val="Unresolved Mention"/>
    <w:uiPriority w:val="99"/>
    <w:semiHidden/>
    <w:unhideWhenUsed/>
    <w:rsid w:val="00431B11"/>
    <w:rPr>
      <w:color w:val="605E5C"/>
      <w:shd w:val="clear" w:color="auto" w:fill="E1DFDD"/>
    </w:rPr>
  </w:style>
  <w:style w:type="character" w:styleId="FollowedHyperlink">
    <w:name w:val="FollowedHyperlink"/>
    <w:uiPriority w:val="99"/>
    <w:semiHidden/>
    <w:unhideWhenUsed/>
    <w:rsid w:val="001870B8"/>
    <w:rPr>
      <w:color w:val="954F72"/>
      <w:u w:val="single"/>
    </w:rPr>
  </w:style>
  <w:style w:type="table" w:styleId="PlainTable5">
    <w:name w:val="Plain Table 5"/>
    <w:basedOn w:val="TableNormal"/>
    <w:uiPriority w:val="45"/>
    <w:rsid w:val="00DF20C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DF20C5"/>
    <w:rPr>
      <w:rFonts w:eastAsia="Calibri" w:cs="Times New Roman"/>
      <w:sz w:val="22"/>
      <w:szCs w:val="22"/>
      <w:lang w:val="id-I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3">
    <w:name w:val="Grid Table 5 Dark Accent 3"/>
    <w:basedOn w:val="TableNormal"/>
    <w:uiPriority w:val="50"/>
    <w:rsid w:val="005C5D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ColorfulList-Accent3">
    <w:name w:val="Colorful List Accent 3"/>
    <w:basedOn w:val="TableNormal"/>
    <w:uiPriority w:val="72"/>
    <w:rsid w:val="005C5D5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MediumGrid3-Accent3">
    <w:name w:val="Medium Grid 3 Accent 3"/>
    <w:basedOn w:val="TableNormal"/>
    <w:uiPriority w:val="69"/>
    <w:rsid w:val="005C5D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dTable4-Accent3">
    <w:name w:val="Grid Table 4 Accent 3"/>
    <w:basedOn w:val="TableNormal"/>
    <w:uiPriority w:val="49"/>
    <w:rsid w:val="00B327E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ibliography">
    <w:name w:val="Bibliography"/>
    <w:basedOn w:val="Normal"/>
    <w:next w:val="Normal"/>
    <w:uiPriority w:val="37"/>
    <w:unhideWhenUsed/>
    <w:rsid w:val="00A82BC9"/>
    <w:rPr>
      <w:rFonts w:cs="Times New Roman"/>
      <w:lang w:val="en-US"/>
    </w:rPr>
  </w:style>
  <w:style w:type="table" w:customStyle="1" w:styleId="LightShading1">
    <w:name w:val="Light Shading1"/>
    <w:basedOn w:val="TableNormal"/>
    <w:next w:val="LightShading"/>
    <w:uiPriority w:val="60"/>
    <w:rsid w:val="00DB5B3B"/>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DB5B3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next w:val="MediumShading2"/>
    <w:uiPriority w:val="64"/>
    <w:rsid w:val="00DB5B3B"/>
    <w:rPr>
      <w:rFonts w:eastAsia="Times New Roman"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DB5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1-Accent3">
    <w:name w:val="Medium Shading 1 Accent 3"/>
    <w:basedOn w:val="TableNormal"/>
    <w:uiPriority w:val="63"/>
    <w:rsid w:val="005920C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2">
    <w:name w:val="Light Shading2"/>
    <w:basedOn w:val="TableNormal"/>
    <w:next w:val="LightShading"/>
    <w:uiPriority w:val="60"/>
    <w:rsid w:val="005920C7"/>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Light1">
    <w:name w:val="Table Grid Light1"/>
    <w:basedOn w:val="TableNormal"/>
    <w:uiPriority w:val="40"/>
    <w:rsid w:val="0009592B"/>
    <w:rPr>
      <w:rFonts w:eastAsia="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horttext">
    <w:name w:val="short_text"/>
    <w:rsid w:val="00B93944"/>
  </w:style>
  <w:style w:type="character" w:customStyle="1" w:styleId="Heading1Char">
    <w:name w:val="Heading 1 Char"/>
    <w:link w:val="Heading1"/>
    <w:uiPriority w:val="9"/>
    <w:rsid w:val="0070062A"/>
    <w:rPr>
      <w:rFonts w:eastAsia="Times New Roman" w:cs="Times New Roman"/>
      <w:b/>
      <w:bCs/>
      <w:color w:val="000000"/>
      <w:kern w:val="32"/>
      <w:sz w:val="22"/>
      <w:szCs w:val="32"/>
      <w:lang w:val="id-ID"/>
    </w:rPr>
  </w:style>
  <w:style w:type="paragraph" w:customStyle="1" w:styleId="TableParagraph">
    <w:name w:val="Table Paragraph"/>
    <w:basedOn w:val="Normal"/>
    <w:uiPriority w:val="1"/>
    <w:qFormat/>
    <w:rsid w:val="00F77EBF"/>
    <w:pPr>
      <w:widowControl w:val="0"/>
      <w:autoSpaceDE w:val="0"/>
      <w:autoSpaceDN w:val="0"/>
      <w:spacing w:after="0" w:line="210" w:lineRule="exact"/>
      <w:ind w:left="115"/>
    </w:pPr>
    <w:rPr>
      <w:rFonts w:ascii="Times New Roman" w:eastAsia="Times New Roman" w:hAnsi="Times New Roman" w:cs="Times New Roman"/>
      <w:lang w:val="en-US" w:bidi="en-US"/>
    </w:rPr>
  </w:style>
  <w:style w:type="paragraph" w:styleId="BodyText">
    <w:name w:val="Body Text"/>
    <w:basedOn w:val="Normal"/>
    <w:link w:val="BodyTextChar"/>
    <w:uiPriority w:val="1"/>
    <w:semiHidden/>
    <w:unhideWhenUsed/>
    <w:qFormat/>
    <w:rsid w:val="0060330A"/>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link w:val="BodyText"/>
    <w:uiPriority w:val="1"/>
    <w:semiHidden/>
    <w:rsid w:val="0060330A"/>
    <w:rPr>
      <w:rFonts w:ascii="Times New Roman" w:eastAsia="Times New Roman" w:hAnsi="Times New Roman" w:cs="Times New Roman"/>
      <w:sz w:val="24"/>
      <w:szCs w:val="24"/>
      <w:lang w:bidi="en-US"/>
    </w:rPr>
  </w:style>
  <w:style w:type="character" w:styleId="PlaceholderText">
    <w:name w:val="Placeholder Text"/>
    <w:uiPriority w:val="99"/>
    <w:semiHidden/>
    <w:rsid w:val="000D55BD"/>
    <w:rPr>
      <w:color w:val="808080"/>
    </w:rPr>
  </w:style>
  <w:style w:type="character" w:customStyle="1" w:styleId="ListParagraphChar">
    <w:name w:val="List Paragraph Char"/>
    <w:aliases w:val="List Paragraph 2 Char,yukeu Subtitle 3 Char"/>
    <w:link w:val="ListParagraph"/>
    <w:uiPriority w:val="34"/>
    <w:rsid w:val="00D67690"/>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4519">
      <w:bodyDiv w:val="1"/>
      <w:marLeft w:val="0"/>
      <w:marRight w:val="0"/>
      <w:marTop w:val="0"/>
      <w:marBottom w:val="0"/>
      <w:divBdr>
        <w:top w:val="none" w:sz="0" w:space="0" w:color="auto"/>
        <w:left w:val="none" w:sz="0" w:space="0" w:color="auto"/>
        <w:bottom w:val="none" w:sz="0" w:space="0" w:color="auto"/>
        <w:right w:val="none" w:sz="0" w:space="0" w:color="auto"/>
      </w:divBdr>
    </w:div>
    <w:div w:id="118841314">
      <w:bodyDiv w:val="1"/>
      <w:marLeft w:val="0"/>
      <w:marRight w:val="0"/>
      <w:marTop w:val="0"/>
      <w:marBottom w:val="0"/>
      <w:divBdr>
        <w:top w:val="none" w:sz="0" w:space="0" w:color="auto"/>
        <w:left w:val="none" w:sz="0" w:space="0" w:color="auto"/>
        <w:bottom w:val="none" w:sz="0" w:space="0" w:color="auto"/>
        <w:right w:val="none" w:sz="0" w:space="0" w:color="auto"/>
      </w:divBdr>
    </w:div>
    <w:div w:id="405496358">
      <w:bodyDiv w:val="1"/>
      <w:marLeft w:val="0"/>
      <w:marRight w:val="0"/>
      <w:marTop w:val="0"/>
      <w:marBottom w:val="0"/>
      <w:divBdr>
        <w:top w:val="none" w:sz="0" w:space="0" w:color="auto"/>
        <w:left w:val="none" w:sz="0" w:space="0" w:color="auto"/>
        <w:bottom w:val="none" w:sz="0" w:space="0" w:color="auto"/>
        <w:right w:val="none" w:sz="0" w:space="0" w:color="auto"/>
      </w:divBdr>
    </w:div>
    <w:div w:id="735516729">
      <w:bodyDiv w:val="1"/>
      <w:marLeft w:val="0"/>
      <w:marRight w:val="0"/>
      <w:marTop w:val="0"/>
      <w:marBottom w:val="0"/>
      <w:divBdr>
        <w:top w:val="none" w:sz="0" w:space="0" w:color="auto"/>
        <w:left w:val="none" w:sz="0" w:space="0" w:color="auto"/>
        <w:bottom w:val="none" w:sz="0" w:space="0" w:color="auto"/>
        <w:right w:val="none" w:sz="0" w:space="0" w:color="auto"/>
      </w:divBdr>
    </w:div>
    <w:div w:id="908613286">
      <w:bodyDiv w:val="1"/>
      <w:marLeft w:val="0"/>
      <w:marRight w:val="0"/>
      <w:marTop w:val="0"/>
      <w:marBottom w:val="0"/>
      <w:divBdr>
        <w:top w:val="none" w:sz="0" w:space="0" w:color="auto"/>
        <w:left w:val="none" w:sz="0" w:space="0" w:color="auto"/>
        <w:bottom w:val="none" w:sz="0" w:space="0" w:color="auto"/>
        <w:right w:val="none" w:sz="0" w:space="0" w:color="auto"/>
      </w:divBdr>
    </w:div>
    <w:div w:id="1032876058">
      <w:bodyDiv w:val="1"/>
      <w:marLeft w:val="0"/>
      <w:marRight w:val="0"/>
      <w:marTop w:val="0"/>
      <w:marBottom w:val="0"/>
      <w:divBdr>
        <w:top w:val="none" w:sz="0" w:space="0" w:color="auto"/>
        <w:left w:val="none" w:sz="0" w:space="0" w:color="auto"/>
        <w:bottom w:val="none" w:sz="0" w:space="0" w:color="auto"/>
        <w:right w:val="none" w:sz="0" w:space="0" w:color="auto"/>
      </w:divBdr>
    </w:div>
    <w:div w:id="1119685501">
      <w:bodyDiv w:val="1"/>
      <w:marLeft w:val="0"/>
      <w:marRight w:val="0"/>
      <w:marTop w:val="0"/>
      <w:marBottom w:val="0"/>
      <w:divBdr>
        <w:top w:val="none" w:sz="0" w:space="0" w:color="auto"/>
        <w:left w:val="none" w:sz="0" w:space="0" w:color="auto"/>
        <w:bottom w:val="none" w:sz="0" w:space="0" w:color="auto"/>
        <w:right w:val="none" w:sz="0" w:space="0" w:color="auto"/>
      </w:divBdr>
    </w:div>
    <w:div w:id="1425027156">
      <w:bodyDiv w:val="1"/>
      <w:marLeft w:val="0"/>
      <w:marRight w:val="0"/>
      <w:marTop w:val="0"/>
      <w:marBottom w:val="0"/>
      <w:divBdr>
        <w:top w:val="none" w:sz="0" w:space="0" w:color="auto"/>
        <w:left w:val="none" w:sz="0" w:space="0" w:color="auto"/>
        <w:bottom w:val="none" w:sz="0" w:space="0" w:color="auto"/>
        <w:right w:val="none" w:sz="0" w:space="0" w:color="auto"/>
      </w:divBdr>
    </w:div>
    <w:div w:id="1501778630">
      <w:bodyDiv w:val="1"/>
      <w:marLeft w:val="0"/>
      <w:marRight w:val="0"/>
      <w:marTop w:val="0"/>
      <w:marBottom w:val="0"/>
      <w:divBdr>
        <w:top w:val="none" w:sz="0" w:space="0" w:color="auto"/>
        <w:left w:val="none" w:sz="0" w:space="0" w:color="auto"/>
        <w:bottom w:val="none" w:sz="0" w:space="0" w:color="auto"/>
        <w:right w:val="none" w:sz="0" w:space="0" w:color="auto"/>
      </w:divBdr>
    </w:div>
    <w:div w:id="1627814537">
      <w:bodyDiv w:val="1"/>
      <w:marLeft w:val="0"/>
      <w:marRight w:val="0"/>
      <w:marTop w:val="0"/>
      <w:marBottom w:val="0"/>
      <w:divBdr>
        <w:top w:val="none" w:sz="0" w:space="0" w:color="auto"/>
        <w:left w:val="none" w:sz="0" w:space="0" w:color="auto"/>
        <w:bottom w:val="none" w:sz="0" w:space="0" w:color="auto"/>
        <w:right w:val="none" w:sz="0" w:space="0" w:color="auto"/>
      </w:divBdr>
    </w:div>
    <w:div w:id="1640111796">
      <w:bodyDiv w:val="1"/>
      <w:marLeft w:val="0"/>
      <w:marRight w:val="0"/>
      <w:marTop w:val="0"/>
      <w:marBottom w:val="0"/>
      <w:divBdr>
        <w:top w:val="none" w:sz="0" w:space="0" w:color="auto"/>
        <w:left w:val="none" w:sz="0" w:space="0" w:color="auto"/>
        <w:bottom w:val="none" w:sz="0" w:space="0" w:color="auto"/>
        <w:right w:val="none" w:sz="0" w:space="0" w:color="auto"/>
      </w:divBdr>
    </w:div>
    <w:div w:id="1862816740">
      <w:bodyDiv w:val="1"/>
      <w:marLeft w:val="0"/>
      <w:marRight w:val="0"/>
      <w:marTop w:val="0"/>
      <w:marBottom w:val="0"/>
      <w:divBdr>
        <w:top w:val="none" w:sz="0" w:space="0" w:color="auto"/>
        <w:left w:val="none" w:sz="0" w:space="0" w:color="auto"/>
        <w:bottom w:val="none" w:sz="0" w:space="0" w:color="auto"/>
        <w:right w:val="none" w:sz="0" w:space="0" w:color="auto"/>
      </w:divBdr>
    </w:div>
    <w:div w:id="1876770839">
      <w:bodyDiv w:val="1"/>
      <w:marLeft w:val="0"/>
      <w:marRight w:val="0"/>
      <w:marTop w:val="0"/>
      <w:marBottom w:val="0"/>
      <w:divBdr>
        <w:top w:val="none" w:sz="0" w:space="0" w:color="auto"/>
        <w:left w:val="none" w:sz="0" w:space="0" w:color="auto"/>
        <w:bottom w:val="none" w:sz="0" w:space="0" w:color="auto"/>
        <w:right w:val="none" w:sz="0" w:space="0" w:color="auto"/>
      </w:divBdr>
      <w:divsChild>
        <w:div w:id="1613366606">
          <w:marLeft w:val="0"/>
          <w:marRight w:val="0"/>
          <w:marTop w:val="0"/>
          <w:marBottom w:val="0"/>
          <w:divBdr>
            <w:top w:val="none" w:sz="0" w:space="0" w:color="auto"/>
            <w:left w:val="none" w:sz="0" w:space="0" w:color="auto"/>
            <w:bottom w:val="none" w:sz="0" w:space="0" w:color="auto"/>
            <w:right w:val="none" w:sz="0" w:space="0" w:color="auto"/>
          </w:divBdr>
        </w:div>
        <w:div w:id="2030985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pe.2019.01.004" TargetMode="External"/><Relationship Id="rId21" Type="http://schemas.openxmlformats.org/officeDocument/2006/relationships/hyperlink" Target="https://doi.org/10.32400/ja.24757.8.2.2019.66-74" TargetMode="External"/><Relationship Id="rId34" Type="http://schemas.openxmlformats.org/officeDocument/2006/relationships/hyperlink" Target="https://ejournal.ukm.my/pengurusan/article/view/8601/4794" TargetMode="External"/><Relationship Id="rId42" Type="http://schemas.openxmlformats.org/officeDocument/2006/relationships/hyperlink" Target="https://journal.perbanas.ac.id/index.php/tiar/article/view/1632" TargetMode="External"/><Relationship Id="rId47" Type="http://schemas.openxmlformats.org/officeDocument/2006/relationships/hyperlink" Target="https://doi.org/10.1108/JFC-11-2014-0055" TargetMode="External"/><Relationship Id="rId50" Type="http://schemas.openxmlformats.org/officeDocument/2006/relationships/hyperlink" Target="https://doi.org/10.1108/13527600910977373" TargetMode="External"/><Relationship Id="rId55" Type="http://schemas.openxmlformats.org/officeDocument/2006/relationships/hyperlink" Target="https://doi.org/10.1007/s00170-017-0233-1"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07/2094589" TargetMode="External"/><Relationship Id="rId29" Type="http://schemas.openxmlformats.org/officeDocument/2006/relationships/hyperlink" Target="https://www.academia.edu/download/47506006/Corporate_Fraud_Preventive_Controls_whic20160725-16045-yt5tff.pdf" TargetMode="External"/><Relationship Id="rId11" Type="http://schemas.openxmlformats.org/officeDocument/2006/relationships/hyperlink" Target="https://doi.org/10.17509/jrak.v3i3.6621" TargetMode="External"/><Relationship Id="rId24" Type="http://schemas.openxmlformats.org/officeDocument/2006/relationships/hyperlink" Target="https://doi.org/10.2308/iace-50131" TargetMode="External"/><Relationship Id="rId32" Type="http://schemas.openxmlformats.org/officeDocument/2006/relationships/hyperlink" Target="https://journal.unnes.ac.id/sju/index.php/aaj/article/view/10516" TargetMode="External"/><Relationship Id="rId37" Type="http://schemas.openxmlformats.org/officeDocument/2006/relationships/hyperlink" Target="https://doi.org/10.1111/j.1464-0597.1995.tb01070.x" TargetMode="External"/><Relationship Id="rId40" Type="http://schemas.openxmlformats.org/officeDocument/2006/relationships/hyperlink" Target="https://doi.org/10.5923/j.ijfa.20170606.01" TargetMode="External"/><Relationship Id="rId45" Type="http://schemas.openxmlformats.org/officeDocument/2006/relationships/hyperlink" Target="https://www.semanticscholar.org/paper/Factors-Affecting-Financial-Statement-Fraud%3A-Fraud-Oktaviani/332ba97c2024eccd7eb1c6b07828ecd3ef616d7f" TargetMode="External"/><Relationship Id="rId53" Type="http://schemas.openxmlformats.org/officeDocument/2006/relationships/hyperlink" Target="https://www.jstor.org/stable/248345" TargetMode="External"/><Relationship Id="rId58" Type="http://schemas.openxmlformats.org/officeDocument/2006/relationships/hyperlink" Target="https://www.researchgate.net/publication/282769719_Beneish_Model_as_Effective_Complement_to_the_Application_of_SAS_No_99_in_the_Conduct_of_Audit_in_Nigeria"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109/CVPR.2017.389" TargetMode="External"/><Relationship Id="rId19" Type="http://schemas.openxmlformats.org/officeDocument/2006/relationships/hyperlink" Target="https://doi.org/10.1111/j.1540-6288.2007.00161.x" TargetMode="External"/><Relationship Id="rId14" Type="http://schemas.openxmlformats.org/officeDocument/2006/relationships/hyperlink" Target="https://doi.org/10.2139/ssrn.1998387" TargetMode="External"/><Relationship Id="rId22" Type="http://schemas.openxmlformats.org/officeDocument/2006/relationships/hyperlink" Target="https://doi.org/10.1016/0165-4101(94)90016-7" TargetMode="External"/><Relationship Id="rId27" Type="http://schemas.openxmlformats.org/officeDocument/2006/relationships/hyperlink" Target="https://doi.org/10.1108/jfc-02-2013-0011" TargetMode="External"/><Relationship Id="rId30" Type="http://schemas.openxmlformats.org/officeDocument/2006/relationships/hyperlink" Target="https://doi.org/10.1016/S1353-4858(13)70135-1" TargetMode="External"/><Relationship Id="rId35" Type="http://schemas.openxmlformats.org/officeDocument/2006/relationships/hyperlink" Target="https://mro.massey.ac.nz/bitstream/handle/10179/5602/02_whole.pdf" TargetMode="External"/><Relationship Id="rId43" Type="http://schemas.openxmlformats.org/officeDocument/2006/relationships/hyperlink" Target="https://ejournal.undip.ac.id/index.php/akuditi/article/view/19774" TargetMode="External"/><Relationship Id="rId48" Type="http://schemas.openxmlformats.org/officeDocument/2006/relationships/hyperlink" Target="https://books.google.com/books?hl=en&amp;lr=&amp;id=864wkkSHaqQC&amp;oi=fnd&amp;pg=PR3&amp;dq=Financial+Statement+Fraud:+Prevention+and+Detection&amp;ots=IS9fvClIyY&amp;sig=G_a4kh3EnlVkO1gsZn4ds1A-NhM" TargetMode="External"/><Relationship Id="rId56" Type="http://schemas.openxmlformats.org/officeDocument/2006/relationships/hyperlink" Target="https://www.fujipress.jp/ijat/au/ijate001100010004/"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111/j.1467-6281.2009.00278.x" TargetMode="External"/><Relationship Id="rId3" Type="http://schemas.openxmlformats.org/officeDocument/2006/relationships/styles" Target="styles.xml"/><Relationship Id="rId12" Type="http://schemas.openxmlformats.org/officeDocument/2006/relationships/hyperlink" Target="https://meridian.allenpress.com/accounting-horizons/article-abstract/14/4/441/52225" TargetMode="External"/><Relationship Id="rId17" Type="http://schemas.openxmlformats.org/officeDocument/2006/relationships/hyperlink" Target="https://doi.org/10.1111/j.1467-629X.2007.00247.x" TargetMode="External"/><Relationship Id="rId25" Type="http://schemas.openxmlformats.org/officeDocument/2006/relationships/hyperlink" Target="https://doi.org/10.1080/0097840x.1984.9934954" TargetMode="External"/><Relationship Id="rId33" Type="http://schemas.openxmlformats.org/officeDocument/2006/relationships/hyperlink" Target="https://doi.org/10.13140/RG.2.1.1205.8966" TargetMode="External"/><Relationship Id="rId38" Type="http://schemas.openxmlformats.org/officeDocument/2006/relationships/hyperlink" Target="https://doi.org/10.19030/jber.v7i2.2262" TargetMode="External"/><Relationship Id="rId46" Type="http://schemas.openxmlformats.org/officeDocument/2006/relationships/hyperlink" Target="http://jurnal.umt.ac.id/index.php/competitive/article/view/240" TargetMode="External"/><Relationship Id="rId59" Type="http://schemas.openxmlformats.org/officeDocument/2006/relationships/hyperlink" Target="http://riset.unisma.ac.id/index.php/jra/article/viewFile/1454/1426" TargetMode="External"/><Relationship Id="rId67" Type="http://schemas.openxmlformats.org/officeDocument/2006/relationships/fontTable" Target="fontTable.xml"/><Relationship Id="rId20" Type="http://schemas.openxmlformats.org/officeDocument/2006/relationships/hyperlink" Target="https://doi.org/10.1016/j.ijpe.2018.08.019" TargetMode="External"/><Relationship Id="rId41" Type="http://schemas.openxmlformats.org/officeDocument/2006/relationships/hyperlink" Target="https://doi.org/10.1016/j.dss.2010.08.006" TargetMode="External"/><Relationship Id="rId54" Type="http://schemas.openxmlformats.org/officeDocument/2006/relationships/hyperlink" Target="https://doi.org/10.1017/CBO9780511543579.049"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796-010-9268-7" TargetMode="External"/><Relationship Id="rId23" Type="http://schemas.openxmlformats.org/officeDocument/2006/relationships/hyperlink" Target="https://doi.org/10.1037/1072-5245.12.4.409" TargetMode="External"/><Relationship Id="rId28" Type="http://schemas.openxmlformats.org/officeDocument/2006/relationships/hyperlink" Target="https://doi.org/10.35940/ijitee.B7568.019320" TargetMode="External"/><Relationship Id="rId36" Type="http://schemas.openxmlformats.org/officeDocument/2006/relationships/hyperlink" Target="https://doi.org/10.1108/JAAR-10-2015-0079" TargetMode="External"/><Relationship Id="rId49" Type="http://schemas.openxmlformats.org/officeDocument/2006/relationships/hyperlink" Target="https://doi.org/10.1016/j.accfor.2014.12.001" TargetMode="External"/><Relationship Id="rId57" Type="http://schemas.openxmlformats.org/officeDocument/2006/relationships/hyperlink" Target="http://doi.org/10.20885/jaai.vol19.iss2.art3" TargetMode="External"/><Relationship Id="rId10" Type="http://schemas.openxmlformats.org/officeDocument/2006/relationships/hyperlink" Target="https://doi.org/10.1111/j.1540-6261.2010.01627.x" TargetMode="External"/><Relationship Id="rId31" Type="http://schemas.openxmlformats.org/officeDocument/2006/relationships/hyperlink" Target="https://doi.org/10.1007/s10796-016-9647-9" TargetMode="External"/><Relationship Id="rId44" Type="http://schemas.openxmlformats.org/officeDocument/2006/relationships/hyperlink" Target="http://journals.ums.ac.id/index.php/dayasaing/article/view/5384" TargetMode="External"/><Relationship Id="rId52" Type="http://schemas.openxmlformats.org/officeDocument/2006/relationships/hyperlink" Target="https://ejournal.undip.ac.id/index.php/smo/article/view/4175" TargetMode="External"/><Relationship Id="rId60" Type="http://schemas.openxmlformats.org/officeDocument/2006/relationships/hyperlink" Target="https://fe.ummetro.ac.id/ejournal/index.php/JA/article/view/137"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js.unud.ac.id/index.php/jiab" TargetMode="External"/><Relationship Id="rId13" Type="http://schemas.openxmlformats.org/officeDocument/2006/relationships/hyperlink" Target="https://doi.org/10.1016/S0278-4254(97)00023-9" TargetMode="External"/><Relationship Id="rId18" Type="http://schemas.openxmlformats.org/officeDocument/2006/relationships/hyperlink" Target="https://doi.org/978-1-93735-239-4" TargetMode="External"/><Relationship Id="rId39" Type="http://schemas.openxmlformats.org/officeDocument/2006/relationships/hyperlink" Target="https://doi.org/10.1016/j.accinf.2003.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B5A6-FFE6-4CD8-9C6E-1B32661B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19</Pages>
  <Words>30892</Words>
  <Characters>176085</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206564</CharactersWithSpaces>
  <SharedDoc>false</SharedDoc>
  <HLinks>
    <vt:vector size="42" baseType="variant">
      <vt:variant>
        <vt:i4>5636172</vt:i4>
      </vt:variant>
      <vt:variant>
        <vt:i4>183</vt:i4>
      </vt:variant>
      <vt:variant>
        <vt:i4>0</vt:i4>
      </vt:variant>
      <vt:variant>
        <vt:i4>5</vt:i4>
      </vt:variant>
      <vt:variant>
        <vt:lpwstr>http://www.sysrevpharm.org/?mno=86262</vt:lpwstr>
      </vt:variant>
      <vt:variant>
        <vt:lpwstr/>
      </vt:variant>
      <vt:variant>
        <vt:i4>851968</vt:i4>
      </vt:variant>
      <vt:variant>
        <vt:i4>180</vt:i4>
      </vt:variant>
      <vt:variant>
        <vt:i4>0</vt:i4>
      </vt:variant>
      <vt:variant>
        <vt:i4>5</vt:i4>
      </vt:variant>
      <vt:variant>
        <vt:lpwstr>https://journal.umy.ac.id/index.php/ai/article/view/4834</vt:lpwstr>
      </vt:variant>
      <vt:variant>
        <vt:lpwstr/>
      </vt:variant>
      <vt:variant>
        <vt:i4>5832723</vt:i4>
      </vt:variant>
      <vt:variant>
        <vt:i4>177</vt:i4>
      </vt:variant>
      <vt:variant>
        <vt:i4>0</vt:i4>
      </vt:variant>
      <vt:variant>
        <vt:i4>5</vt:i4>
      </vt:variant>
      <vt:variant>
        <vt:lpwstr>https://ojs.unud.ac.id/index.php/jiab/article/view/42907</vt:lpwstr>
      </vt:variant>
      <vt:variant>
        <vt:lpwstr/>
      </vt:variant>
      <vt:variant>
        <vt:i4>3932192</vt:i4>
      </vt:variant>
      <vt:variant>
        <vt:i4>174</vt:i4>
      </vt:variant>
      <vt:variant>
        <vt:i4>0</vt:i4>
      </vt:variant>
      <vt:variant>
        <vt:i4>5</vt:i4>
      </vt:variant>
      <vt:variant>
        <vt:lpwstr>https://www.emerald.com/insight/content/doi/10.1108/JMLC-06-2019-0047/full/html</vt:lpwstr>
      </vt:variant>
      <vt:variant>
        <vt:lpwstr/>
      </vt:variant>
      <vt:variant>
        <vt:i4>655452</vt:i4>
      </vt:variant>
      <vt:variant>
        <vt:i4>9</vt:i4>
      </vt:variant>
      <vt:variant>
        <vt:i4>0</vt:i4>
      </vt:variant>
      <vt:variant>
        <vt:i4>5</vt:i4>
      </vt:variant>
      <vt:variant>
        <vt:lpwstr>https://ojs.unud.ac.id/index.php/jiab</vt:lpwstr>
      </vt:variant>
      <vt:variant>
        <vt:lpwstr/>
      </vt:variant>
      <vt:variant>
        <vt:i4>7143513</vt:i4>
      </vt:variant>
      <vt:variant>
        <vt:i4>5</vt:i4>
      </vt:variant>
      <vt:variant>
        <vt:i4>0</vt:i4>
      </vt:variant>
      <vt:variant>
        <vt:i4>5</vt:i4>
      </vt:variant>
      <vt:variant>
        <vt:lpwstr/>
      </vt:variant>
      <vt:variant>
        <vt:lpwstr>_References</vt:lpwstr>
      </vt:variant>
      <vt:variant>
        <vt:i4>7143513</vt:i4>
      </vt:variant>
      <vt:variant>
        <vt:i4>2</vt:i4>
      </vt:variant>
      <vt:variant>
        <vt:i4>0</vt:i4>
      </vt:variant>
      <vt:variant>
        <vt:i4>5</vt:i4>
      </vt:variant>
      <vt:variant>
        <vt:lpwstr/>
      </vt:variant>
      <vt:variant>
        <vt:lpwstr>_References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cp:lastModifiedBy>
  <cp:revision>54</cp:revision>
  <cp:lastPrinted>2021-02-06T06:49:00Z</cp:lastPrinted>
  <dcterms:created xsi:type="dcterms:W3CDTF">2020-12-29T02:23:00Z</dcterms:created>
  <dcterms:modified xsi:type="dcterms:W3CDTF">2021-02-06T06:51:00Z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Unique User Id_1">
    <vt:lpwstr>63489495-46f1-38ea-bcc7-24891c564e15</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http://www.zotero.org/styles/harvard-cite-them-right</vt:lpwstr>
  </property>
  <property fmtid="{D5CDD505-2E9C-101B-9397-08002B2CF9AE}" pid="11" name="Mendeley Recent Style Name 2_1">
    <vt:lpwstr>Cite Them Right 10th edition - Harvard</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http://www.zotero.org/styles/journal-of-the-american-chemical-society</vt:lpwstr>
  </property>
  <property fmtid="{D5CDD505-2E9C-101B-9397-08002B2CF9AE}" pid="15" name="Mendeley Recent Style Name 4_1">
    <vt:lpwstr>Journal of the American Chemical Society</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3rd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8th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http://www.zotero.org/styles/taylor-and-francis-acs</vt:lpwstr>
  </property>
  <property fmtid="{D5CDD505-2E9C-101B-9397-08002B2CF9AE}" pid="23" name="Mendeley Recent Style Name 8_1">
    <vt:lpwstr>Taylor &amp; Francis - American Chemical Society</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