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17" w:rsidRDefault="00296382" w:rsidP="00725498">
      <w:pPr>
        <w:spacing w:after="0" w:line="240" w:lineRule="auto"/>
        <w:jc w:val="center"/>
        <w:rPr>
          <w:rFonts w:ascii="Times New Roman" w:hAnsi="Times New Roman"/>
          <w:b/>
          <w:sz w:val="28"/>
          <w:szCs w:val="28"/>
          <w:lang w:val="id-ID"/>
        </w:rPr>
      </w:pPr>
      <w:r w:rsidRPr="000109B6">
        <w:rPr>
          <w:rFonts w:ascii="Times New Roman" w:hAnsi="Times New Roman"/>
          <w:b/>
          <w:sz w:val="28"/>
          <w:szCs w:val="28"/>
        </w:rPr>
        <w:t>KARAKTERISTIK PASIEN LEUKEMIA MIELOID KRONIK DI RUMAH SAKIT UMUM PUSAT SANGLAH DENPASAR TAHUN 2014-2015</w:t>
      </w:r>
    </w:p>
    <w:p w:rsidR="00725498" w:rsidRPr="00725498" w:rsidRDefault="00725498" w:rsidP="00725498">
      <w:pPr>
        <w:spacing w:after="0" w:line="240" w:lineRule="auto"/>
        <w:jc w:val="center"/>
        <w:rPr>
          <w:rFonts w:ascii="Times New Roman" w:hAnsi="Times New Roman"/>
          <w:b/>
          <w:sz w:val="28"/>
          <w:szCs w:val="28"/>
          <w:lang w:val="id-ID"/>
        </w:rPr>
      </w:pPr>
    </w:p>
    <w:p w:rsidR="00725498" w:rsidRDefault="00853056" w:rsidP="00725498">
      <w:pPr>
        <w:spacing w:after="0" w:line="240" w:lineRule="auto"/>
        <w:jc w:val="center"/>
        <w:rPr>
          <w:rFonts w:ascii="Times New Roman" w:hAnsi="Times New Roman"/>
          <w:b/>
          <w:sz w:val="24"/>
          <w:szCs w:val="24"/>
          <w:vertAlign w:val="superscript"/>
          <w:lang w:val="id-ID"/>
        </w:rPr>
      </w:pPr>
      <w:r w:rsidRPr="00725498">
        <w:rPr>
          <w:rFonts w:ascii="Times New Roman" w:hAnsi="Times New Roman"/>
          <w:b/>
          <w:sz w:val="24"/>
          <w:szCs w:val="24"/>
        </w:rPr>
        <w:t xml:space="preserve">Dewa Gede Angga </w:t>
      </w:r>
      <w:proofErr w:type="gramStart"/>
      <w:r w:rsidRPr="00725498">
        <w:rPr>
          <w:rFonts w:ascii="Times New Roman" w:hAnsi="Times New Roman"/>
          <w:b/>
          <w:sz w:val="24"/>
          <w:szCs w:val="24"/>
        </w:rPr>
        <w:t>Juliawan</w:t>
      </w:r>
      <w:r w:rsidR="00C31C07" w:rsidRPr="00725498">
        <w:rPr>
          <w:rFonts w:ascii="Times New Roman" w:hAnsi="Times New Roman"/>
          <w:b/>
          <w:sz w:val="24"/>
          <w:szCs w:val="24"/>
          <w:vertAlign w:val="superscript"/>
        </w:rPr>
        <w:t>1</w:t>
      </w:r>
      <w:r w:rsidR="00EE7517" w:rsidRPr="00725498">
        <w:rPr>
          <w:rFonts w:ascii="Times New Roman" w:hAnsi="Times New Roman"/>
          <w:b/>
          <w:sz w:val="24"/>
          <w:szCs w:val="24"/>
        </w:rPr>
        <w:t xml:space="preserve"> ,</w:t>
      </w:r>
      <w:proofErr w:type="gramEnd"/>
      <w:r w:rsidR="00EE7517" w:rsidRPr="00725498">
        <w:rPr>
          <w:rFonts w:ascii="Times New Roman" w:hAnsi="Times New Roman"/>
          <w:b/>
          <w:sz w:val="24"/>
          <w:szCs w:val="24"/>
        </w:rPr>
        <w:t xml:space="preserve"> Renny A Rena</w:t>
      </w:r>
      <w:r w:rsidR="00C31C07" w:rsidRPr="00725498">
        <w:rPr>
          <w:rFonts w:ascii="Times New Roman" w:hAnsi="Times New Roman"/>
          <w:b/>
          <w:sz w:val="24"/>
          <w:szCs w:val="24"/>
          <w:vertAlign w:val="superscript"/>
        </w:rPr>
        <w:t>2</w:t>
      </w:r>
      <w:r w:rsidR="00EE7517" w:rsidRPr="00725498">
        <w:rPr>
          <w:rFonts w:ascii="Times New Roman" w:hAnsi="Times New Roman"/>
          <w:b/>
          <w:sz w:val="24"/>
          <w:szCs w:val="24"/>
        </w:rPr>
        <w:t>, Ketut Suega</w:t>
      </w:r>
      <w:r w:rsidR="00C31C07" w:rsidRPr="00725498">
        <w:rPr>
          <w:rFonts w:ascii="Times New Roman" w:hAnsi="Times New Roman"/>
          <w:b/>
          <w:sz w:val="24"/>
          <w:szCs w:val="24"/>
          <w:vertAlign w:val="superscript"/>
        </w:rPr>
        <w:t>2</w:t>
      </w:r>
    </w:p>
    <w:p w:rsidR="00725498" w:rsidRPr="00725498" w:rsidRDefault="00725498" w:rsidP="00725498">
      <w:pPr>
        <w:spacing w:after="0" w:line="240" w:lineRule="auto"/>
        <w:jc w:val="center"/>
        <w:rPr>
          <w:rFonts w:ascii="Times New Roman" w:hAnsi="Times New Roman"/>
          <w:b/>
          <w:sz w:val="24"/>
          <w:szCs w:val="24"/>
          <w:vertAlign w:val="superscript"/>
          <w:lang w:val="id-ID"/>
        </w:rPr>
      </w:pPr>
    </w:p>
    <w:p w:rsidR="00C31C07" w:rsidRPr="00C31C07" w:rsidRDefault="00C31C07" w:rsidP="00C31C07">
      <w:pPr>
        <w:pStyle w:val="ListParagraph"/>
        <w:numPr>
          <w:ilvl w:val="0"/>
          <w:numId w:val="7"/>
        </w:numPr>
        <w:spacing w:after="0" w:line="240" w:lineRule="auto"/>
        <w:jc w:val="center"/>
        <w:rPr>
          <w:rFonts w:ascii="Times New Roman" w:hAnsi="Times New Roman"/>
          <w:sz w:val="24"/>
          <w:szCs w:val="24"/>
        </w:rPr>
      </w:pPr>
      <w:r>
        <w:rPr>
          <w:rFonts w:ascii="Times New Roman" w:hAnsi="Times New Roman"/>
          <w:sz w:val="24"/>
          <w:szCs w:val="24"/>
        </w:rPr>
        <w:t>Program Studi Pendidikan Dokter, Fakultas Kedokteran Universitas Udayana</w:t>
      </w:r>
    </w:p>
    <w:p w:rsidR="00EE7517" w:rsidRPr="00C31C07" w:rsidRDefault="00EE7517" w:rsidP="00C31C07">
      <w:pPr>
        <w:pStyle w:val="ListParagraph"/>
        <w:numPr>
          <w:ilvl w:val="0"/>
          <w:numId w:val="7"/>
        </w:numPr>
        <w:spacing w:after="0" w:line="240" w:lineRule="auto"/>
        <w:jc w:val="center"/>
        <w:rPr>
          <w:rFonts w:ascii="Times New Roman" w:hAnsi="Times New Roman"/>
          <w:sz w:val="24"/>
          <w:szCs w:val="24"/>
        </w:rPr>
      </w:pPr>
      <w:r w:rsidRPr="00C31C07">
        <w:rPr>
          <w:rFonts w:ascii="Times New Roman" w:hAnsi="Times New Roman"/>
          <w:sz w:val="24"/>
          <w:szCs w:val="24"/>
        </w:rPr>
        <w:t>Divisi Hematologi Onkologi Medik, Bagian Ilmu Penyakit Dalam</w:t>
      </w:r>
    </w:p>
    <w:p w:rsidR="00EE7517" w:rsidRPr="000109B6" w:rsidRDefault="00EE7517" w:rsidP="000109B6">
      <w:pPr>
        <w:spacing w:line="240" w:lineRule="auto"/>
        <w:jc w:val="center"/>
        <w:rPr>
          <w:rFonts w:ascii="Times New Roman" w:hAnsi="Times New Roman"/>
          <w:sz w:val="24"/>
          <w:szCs w:val="24"/>
        </w:rPr>
      </w:pPr>
      <w:r w:rsidRPr="000109B6">
        <w:rPr>
          <w:rFonts w:ascii="Times New Roman" w:hAnsi="Times New Roman"/>
          <w:sz w:val="24"/>
          <w:szCs w:val="24"/>
        </w:rPr>
        <w:t>Universitas Udayana/RSUP Sanglah Denpasar</w:t>
      </w:r>
    </w:p>
    <w:p w:rsidR="00EE7517" w:rsidRPr="002D6A40" w:rsidRDefault="002D6A40" w:rsidP="002D6A40">
      <w:pPr>
        <w:spacing w:after="0" w:line="240" w:lineRule="auto"/>
        <w:jc w:val="center"/>
        <w:rPr>
          <w:rFonts w:ascii="Times New Roman" w:hAnsi="Times New Roman"/>
          <w:b/>
          <w:sz w:val="24"/>
          <w:szCs w:val="24"/>
        </w:rPr>
      </w:pPr>
      <w:r w:rsidRPr="002D6A40">
        <w:rPr>
          <w:rFonts w:ascii="Times New Roman" w:hAnsi="Times New Roman"/>
          <w:b/>
          <w:sz w:val="24"/>
          <w:szCs w:val="24"/>
        </w:rPr>
        <w:t>ABSTRAK</w:t>
      </w:r>
    </w:p>
    <w:p w:rsidR="003F1A37" w:rsidRPr="000109B6" w:rsidRDefault="003F1A37" w:rsidP="00296382">
      <w:pPr>
        <w:spacing w:after="0" w:line="240" w:lineRule="auto"/>
        <w:ind w:firstLine="720"/>
        <w:jc w:val="both"/>
        <w:rPr>
          <w:rFonts w:ascii="Times New Roman" w:hAnsi="Times New Roman"/>
          <w:sz w:val="24"/>
          <w:szCs w:val="24"/>
        </w:rPr>
      </w:pPr>
      <w:r w:rsidRPr="000109B6">
        <w:rPr>
          <w:rFonts w:ascii="Times New Roman" w:hAnsi="Times New Roman"/>
          <w:color w:val="000000"/>
          <w:sz w:val="24"/>
          <w:szCs w:val="24"/>
          <w:lang w:val="id-ID"/>
        </w:rPr>
        <w:t>L</w:t>
      </w:r>
      <w:r w:rsidRPr="000109B6">
        <w:rPr>
          <w:rFonts w:ascii="Times New Roman" w:hAnsi="Times New Roman"/>
          <w:color w:val="000000"/>
          <w:sz w:val="24"/>
          <w:szCs w:val="24"/>
        </w:rPr>
        <w:t xml:space="preserve">eukemia </w:t>
      </w:r>
      <w:r w:rsidRPr="000109B6">
        <w:rPr>
          <w:rFonts w:ascii="Times New Roman" w:hAnsi="Times New Roman"/>
          <w:color w:val="000000"/>
          <w:sz w:val="24"/>
          <w:szCs w:val="24"/>
          <w:lang w:val="id-ID"/>
        </w:rPr>
        <w:t xml:space="preserve">mieloid kronik </w:t>
      </w:r>
      <w:r w:rsidR="002C417A">
        <w:rPr>
          <w:rFonts w:ascii="Times New Roman" w:hAnsi="Times New Roman"/>
          <w:color w:val="000000"/>
          <w:sz w:val="24"/>
          <w:szCs w:val="24"/>
        </w:rPr>
        <w:t>memiliki</w:t>
      </w:r>
      <w:r w:rsidRPr="000109B6">
        <w:rPr>
          <w:rFonts w:ascii="Times New Roman" w:hAnsi="Times New Roman"/>
          <w:color w:val="000000"/>
          <w:sz w:val="24"/>
          <w:szCs w:val="24"/>
          <w:lang w:val="id-ID"/>
        </w:rPr>
        <w:t xml:space="preserve"> insiden </w:t>
      </w:r>
      <w:r w:rsidRPr="000109B6">
        <w:rPr>
          <w:rFonts w:ascii="Times New Roman" w:hAnsi="Times New Roman"/>
          <w:color w:val="000000"/>
          <w:sz w:val="24"/>
          <w:szCs w:val="24"/>
        </w:rPr>
        <w:t xml:space="preserve">yang </w:t>
      </w:r>
      <w:r w:rsidRPr="000109B6">
        <w:rPr>
          <w:rFonts w:ascii="Times New Roman" w:hAnsi="Times New Roman"/>
          <w:color w:val="000000"/>
          <w:sz w:val="24"/>
          <w:szCs w:val="24"/>
          <w:lang w:val="id-ID"/>
        </w:rPr>
        <w:t xml:space="preserve">cukup banyak di RSUP Sanglah. </w:t>
      </w:r>
      <w:r w:rsidR="00C31C07">
        <w:rPr>
          <w:rFonts w:ascii="Times New Roman" w:hAnsi="Times New Roman"/>
          <w:color w:val="000000"/>
          <w:sz w:val="24"/>
          <w:szCs w:val="24"/>
        </w:rPr>
        <w:t>Tujuan studi ini untuk mengetahui</w:t>
      </w:r>
      <w:r w:rsidRPr="000109B6">
        <w:rPr>
          <w:rFonts w:ascii="Times New Roman" w:hAnsi="Times New Roman"/>
          <w:color w:val="000000"/>
          <w:sz w:val="24"/>
          <w:szCs w:val="24"/>
        </w:rPr>
        <w:t xml:space="preserve"> karakteristik penderita </w:t>
      </w:r>
      <w:r w:rsidR="002C417A">
        <w:rPr>
          <w:rFonts w:ascii="Times New Roman" w:hAnsi="Times New Roman"/>
          <w:color w:val="000000"/>
          <w:sz w:val="24"/>
          <w:szCs w:val="24"/>
        </w:rPr>
        <w:t xml:space="preserve">LMK. Terapinya </w:t>
      </w:r>
      <w:r w:rsidRPr="000109B6">
        <w:rPr>
          <w:rFonts w:ascii="Times New Roman" w:hAnsi="Times New Roman"/>
          <w:color w:val="000000"/>
          <w:sz w:val="24"/>
          <w:szCs w:val="24"/>
        </w:rPr>
        <w:t>berupa</w:t>
      </w:r>
      <w:r w:rsidRPr="000109B6">
        <w:rPr>
          <w:rFonts w:ascii="Times New Roman" w:hAnsi="Times New Roman"/>
          <w:color w:val="000000"/>
          <w:sz w:val="24"/>
          <w:szCs w:val="24"/>
          <w:lang w:val="id-ID"/>
        </w:rPr>
        <w:t xml:space="preserve"> </w:t>
      </w:r>
      <w:r w:rsidRPr="000109B6">
        <w:rPr>
          <w:rFonts w:ascii="Times New Roman" w:hAnsi="Times New Roman"/>
          <w:i/>
          <w:color w:val="000000"/>
          <w:sz w:val="24"/>
          <w:szCs w:val="24"/>
        </w:rPr>
        <w:t>Tyrosine Kinase Inhibitor</w:t>
      </w:r>
      <w:r w:rsidRPr="000109B6">
        <w:rPr>
          <w:rFonts w:ascii="Times New Roman" w:hAnsi="Times New Roman"/>
          <w:color w:val="000000"/>
          <w:sz w:val="24"/>
          <w:szCs w:val="24"/>
        </w:rPr>
        <w:t xml:space="preserve"> dan </w:t>
      </w:r>
      <w:r w:rsidRPr="000109B6">
        <w:rPr>
          <w:rFonts w:ascii="Times New Roman" w:hAnsi="Times New Roman"/>
          <w:i/>
          <w:color w:val="000000"/>
          <w:sz w:val="24"/>
          <w:szCs w:val="24"/>
        </w:rPr>
        <w:t>Non Tyrosine Kinase Inhibitor</w:t>
      </w:r>
      <w:r w:rsidRPr="000109B6">
        <w:rPr>
          <w:rFonts w:ascii="Times New Roman" w:hAnsi="Times New Roman"/>
          <w:color w:val="000000"/>
          <w:sz w:val="24"/>
          <w:szCs w:val="24"/>
          <w:lang w:val="id-ID"/>
        </w:rPr>
        <w:t>.</w:t>
      </w:r>
      <w:r w:rsidR="00296382" w:rsidRPr="000109B6">
        <w:rPr>
          <w:rFonts w:ascii="Times New Roman" w:hAnsi="Times New Roman"/>
          <w:sz w:val="24"/>
          <w:szCs w:val="24"/>
        </w:rPr>
        <w:t xml:space="preserve"> </w:t>
      </w:r>
      <w:r w:rsidRPr="000109B6">
        <w:rPr>
          <w:rFonts w:ascii="Times New Roman" w:hAnsi="Times New Roman"/>
          <w:sz w:val="24"/>
          <w:szCs w:val="24"/>
        </w:rPr>
        <w:t xml:space="preserve">Penelitian ini menggunakan metode </w:t>
      </w:r>
      <w:r w:rsidRPr="000109B6">
        <w:rPr>
          <w:rFonts w:ascii="Times New Roman" w:hAnsi="Times New Roman"/>
          <w:i/>
          <w:sz w:val="24"/>
          <w:szCs w:val="24"/>
        </w:rPr>
        <w:t>total sampling</w:t>
      </w:r>
      <w:r w:rsidRPr="000109B6">
        <w:rPr>
          <w:rFonts w:ascii="Times New Roman" w:hAnsi="Times New Roman"/>
          <w:sz w:val="24"/>
          <w:szCs w:val="24"/>
        </w:rPr>
        <w:t xml:space="preserve">. </w:t>
      </w:r>
      <w:r w:rsidR="002C417A">
        <w:rPr>
          <w:rFonts w:ascii="Times New Roman" w:hAnsi="Times New Roman"/>
          <w:sz w:val="24"/>
          <w:szCs w:val="24"/>
        </w:rPr>
        <w:t xml:space="preserve">Sampelnya adalah </w:t>
      </w:r>
      <w:r w:rsidRPr="000109B6">
        <w:rPr>
          <w:rFonts w:ascii="Times New Roman" w:hAnsi="Times New Roman"/>
          <w:sz w:val="24"/>
          <w:szCs w:val="24"/>
        </w:rPr>
        <w:t>pasien yang didiagnosis dan masih melakukan pengobatan pada tahun 2014-2015. Data</w:t>
      </w:r>
      <w:r w:rsidR="00C31C07">
        <w:rPr>
          <w:rFonts w:ascii="Times New Roman" w:hAnsi="Times New Roman"/>
          <w:sz w:val="24"/>
          <w:szCs w:val="24"/>
        </w:rPr>
        <w:t xml:space="preserve"> yang</w:t>
      </w:r>
      <w:r w:rsidRPr="000109B6">
        <w:rPr>
          <w:rFonts w:ascii="Times New Roman" w:hAnsi="Times New Roman"/>
          <w:sz w:val="24"/>
          <w:szCs w:val="24"/>
        </w:rPr>
        <w:t xml:space="preserve"> </w:t>
      </w:r>
      <w:proofErr w:type="gramStart"/>
      <w:r w:rsidRPr="000109B6">
        <w:rPr>
          <w:rFonts w:ascii="Times New Roman" w:hAnsi="Times New Roman"/>
          <w:sz w:val="24"/>
          <w:szCs w:val="24"/>
        </w:rPr>
        <w:t>diperoleh  dari</w:t>
      </w:r>
      <w:proofErr w:type="gramEnd"/>
      <w:r w:rsidRPr="000109B6">
        <w:rPr>
          <w:rFonts w:ascii="Times New Roman" w:hAnsi="Times New Roman"/>
          <w:sz w:val="24"/>
          <w:szCs w:val="24"/>
        </w:rPr>
        <w:t xml:space="preserve"> </w:t>
      </w:r>
      <w:r w:rsidR="00C31C07">
        <w:rPr>
          <w:rFonts w:ascii="Times New Roman" w:hAnsi="Times New Roman"/>
          <w:sz w:val="24"/>
          <w:szCs w:val="24"/>
        </w:rPr>
        <w:t xml:space="preserve">rekam medis pasien </w:t>
      </w:r>
      <w:r w:rsidRPr="000109B6">
        <w:rPr>
          <w:rFonts w:ascii="Times New Roman" w:hAnsi="Times New Roman"/>
          <w:sz w:val="24"/>
          <w:szCs w:val="24"/>
        </w:rPr>
        <w:t xml:space="preserve">antara lain jenis kelamin, umur, fase LMK, manifestasi klinis, riwayat transfusi, hasil pemeriksaan darah, </w:t>
      </w:r>
      <w:r w:rsidR="00E90EA5">
        <w:rPr>
          <w:rFonts w:ascii="Times New Roman" w:hAnsi="Times New Roman"/>
          <w:sz w:val="24"/>
          <w:szCs w:val="24"/>
        </w:rPr>
        <w:t>BCR ABL</w:t>
      </w:r>
      <w:r w:rsidRPr="000109B6">
        <w:rPr>
          <w:rFonts w:ascii="Times New Roman" w:hAnsi="Times New Roman"/>
          <w:sz w:val="24"/>
          <w:szCs w:val="24"/>
        </w:rPr>
        <w:t xml:space="preserve"> kualitatif, dan riwayat terapi.</w:t>
      </w:r>
      <w:r w:rsidR="00296382" w:rsidRPr="000109B6">
        <w:rPr>
          <w:rFonts w:ascii="Times New Roman" w:hAnsi="Times New Roman"/>
          <w:sz w:val="24"/>
          <w:szCs w:val="24"/>
        </w:rPr>
        <w:t xml:space="preserve"> </w:t>
      </w:r>
      <w:r w:rsidRPr="000109B6">
        <w:rPr>
          <w:rFonts w:ascii="Times New Roman" w:hAnsi="Times New Roman"/>
          <w:sz w:val="24"/>
          <w:szCs w:val="24"/>
        </w:rPr>
        <w:t xml:space="preserve">Pada penelitian ini </w:t>
      </w:r>
      <w:r w:rsidR="00C31C07">
        <w:rPr>
          <w:rFonts w:ascii="Times New Roman" w:hAnsi="Times New Roman"/>
          <w:sz w:val="24"/>
          <w:szCs w:val="24"/>
        </w:rPr>
        <w:t>terdapat</w:t>
      </w:r>
      <w:r w:rsidRPr="000109B6">
        <w:rPr>
          <w:rFonts w:ascii="Times New Roman" w:hAnsi="Times New Roman"/>
          <w:sz w:val="24"/>
          <w:szCs w:val="24"/>
        </w:rPr>
        <w:t xml:space="preserve"> 41 orang yang memenuhi kriteria inklusi. Didapatkan </w:t>
      </w:r>
      <w:r w:rsidR="00E90EA5">
        <w:rPr>
          <w:rFonts w:ascii="Times New Roman" w:hAnsi="Times New Roman"/>
          <w:sz w:val="24"/>
          <w:szCs w:val="24"/>
        </w:rPr>
        <w:t>lelaki</w:t>
      </w:r>
      <w:r w:rsidRPr="000109B6">
        <w:rPr>
          <w:rFonts w:ascii="Times New Roman" w:hAnsi="Times New Roman"/>
          <w:sz w:val="24"/>
          <w:szCs w:val="24"/>
        </w:rPr>
        <w:t xml:space="preserve"> 27 orang (65</w:t>
      </w:r>
      <w:proofErr w:type="gramStart"/>
      <w:r w:rsidRPr="000109B6">
        <w:rPr>
          <w:rFonts w:ascii="Times New Roman" w:hAnsi="Times New Roman"/>
          <w:sz w:val="24"/>
          <w:szCs w:val="24"/>
        </w:rPr>
        <w:t>,9</w:t>
      </w:r>
      <w:proofErr w:type="gramEnd"/>
      <w:r w:rsidRPr="000109B6">
        <w:rPr>
          <w:rFonts w:ascii="Times New Roman" w:hAnsi="Times New Roman"/>
          <w:sz w:val="24"/>
          <w:szCs w:val="24"/>
        </w:rPr>
        <w:t>%). Rerata umur sampel adalah 38</w:t>
      </w:r>
      <w:proofErr w:type="gramStart"/>
      <w:r w:rsidRPr="000109B6">
        <w:rPr>
          <w:rFonts w:ascii="Times New Roman" w:hAnsi="Times New Roman"/>
          <w:sz w:val="24"/>
          <w:szCs w:val="24"/>
        </w:rPr>
        <w:t>,22</w:t>
      </w:r>
      <w:proofErr w:type="gramEnd"/>
      <w:r w:rsidRPr="000109B6">
        <w:rPr>
          <w:rFonts w:ascii="Times New Roman" w:hAnsi="Times New Roman"/>
          <w:sz w:val="24"/>
          <w:szCs w:val="24"/>
        </w:rPr>
        <w:t>±14,09</w:t>
      </w:r>
      <w:r w:rsidR="00991D72">
        <w:rPr>
          <w:rFonts w:ascii="Times New Roman" w:hAnsi="Times New Roman"/>
          <w:sz w:val="24"/>
          <w:szCs w:val="24"/>
        </w:rPr>
        <w:t xml:space="preserve"> tahun</w:t>
      </w:r>
      <w:r w:rsidRPr="000109B6">
        <w:rPr>
          <w:rFonts w:ascii="Times New Roman" w:eastAsia="Times New Roman" w:hAnsi="Times New Roman"/>
          <w:sz w:val="24"/>
          <w:szCs w:val="24"/>
        </w:rPr>
        <w:t>. Sejumlah 38 orang (92</w:t>
      </w:r>
      <w:proofErr w:type="gramStart"/>
      <w:r w:rsidRPr="000109B6">
        <w:rPr>
          <w:rFonts w:ascii="Times New Roman" w:eastAsia="Times New Roman" w:hAnsi="Times New Roman"/>
          <w:sz w:val="24"/>
          <w:szCs w:val="24"/>
        </w:rPr>
        <w:t>,7</w:t>
      </w:r>
      <w:proofErr w:type="gramEnd"/>
      <w:r w:rsidRPr="000109B6">
        <w:rPr>
          <w:rFonts w:ascii="Times New Roman" w:eastAsia="Times New Roman" w:hAnsi="Times New Roman"/>
          <w:sz w:val="24"/>
          <w:szCs w:val="24"/>
        </w:rPr>
        <w:t xml:space="preserve">%) berada pada fase kronis, dan 3 orang (7,3%) pada fase akselerasi. Manifestasi klinis yang didapat </w:t>
      </w:r>
      <w:r w:rsidR="00991D72">
        <w:rPr>
          <w:rFonts w:ascii="Times New Roman" w:eastAsia="Times New Roman" w:hAnsi="Times New Roman"/>
          <w:sz w:val="24"/>
          <w:szCs w:val="24"/>
        </w:rPr>
        <w:t>yaitu</w:t>
      </w:r>
      <w:r w:rsidRPr="000109B6">
        <w:rPr>
          <w:rFonts w:ascii="Times New Roman" w:eastAsia="Times New Roman" w:hAnsi="Times New Roman"/>
          <w:sz w:val="24"/>
          <w:szCs w:val="24"/>
        </w:rPr>
        <w:t xml:space="preserve"> demam 24 orang (58,5%), penurunan berat badan 38 orang (92,7%), anemia 34 orang (82,9%), perdarahan 15 orang (36,6%), splenomegali 37 orang (90,2%), hepatomegali 11 orang (26,8%). Diketahui rerata leukosit, hemoglobin, dan trombosit sebesar </w:t>
      </w:r>
      <w:r w:rsidRPr="000109B6">
        <w:rPr>
          <w:rFonts w:ascii="Times New Roman" w:hAnsi="Times New Roman"/>
          <w:sz w:val="24"/>
          <w:szCs w:val="24"/>
        </w:rPr>
        <w:t>232,50 x 10</w:t>
      </w:r>
      <w:r w:rsidRPr="000109B6">
        <w:rPr>
          <w:rFonts w:ascii="Times New Roman" w:hAnsi="Times New Roman"/>
          <w:sz w:val="24"/>
          <w:szCs w:val="24"/>
          <w:vertAlign w:val="superscript"/>
        </w:rPr>
        <w:t>3</w:t>
      </w:r>
      <w:r w:rsidRPr="000109B6">
        <w:rPr>
          <w:rFonts w:ascii="Times New Roman" w:hAnsi="Times New Roman"/>
          <w:sz w:val="24"/>
          <w:szCs w:val="24"/>
        </w:rPr>
        <w:t>/µl</w:t>
      </w:r>
      <w:r w:rsidRPr="000109B6">
        <w:rPr>
          <w:rFonts w:ascii="Times New Roman" w:eastAsia="Times New Roman" w:hAnsi="Times New Roman"/>
          <w:sz w:val="24"/>
          <w:szCs w:val="24"/>
        </w:rPr>
        <w:t>, 9,25 g/dl, dan 436,41</w:t>
      </w:r>
      <w:r w:rsidRPr="000109B6">
        <w:rPr>
          <w:rFonts w:ascii="Times New Roman" w:hAnsi="Times New Roman"/>
          <w:sz w:val="24"/>
          <w:szCs w:val="24"/>
        </w:rPr>
        <w:t xml:space="preserve"> x 10</w:t>
      </w:r>
      <w:r w:rsidRPr="000109B6">
        <w:rPr>
          <w:rFonts w:ascii="Times New Roman" w:hAnsi="Times New Roman"/>
          <w:sz w:val="24"/>
          <w:szCs w:val="24"/>
          <w:vertAlign w:val="superscript"/>
        </w:rPr>
        <w:t>3</w:t>
      </w:r>
      <w:r w:rsidRPr="000109B6">
        <w:rPr>
          <w:rFonts w:ascii="Times New Roman" w:hAnsi="Times New Roman"/>
          <w:sz w:val="24"/>
          <w:szCs w:val="24"/>
        </w:rPr>
        <w:t>/µl</w:t>
      </w:r>
      <w:r w:rsidRPr="000109B6">
        <w:rPr>
          <w:rFonts w:ascii="Times New Roman" w:eastAsia="Times New Roman" w:hAnsi="Times New Roman"/>
          <w:sz w:val="24"/>
          <w:szCs w:val="24"/>
        </w:rPr>
        <w:t xml:space="preserve">. Dari 41 sampel, </w:t>
      </w:r>
      <w:r w:rsidRPr="000109B6">
        <w:rPr>
          <w:rFonts w:ascii="Times New Roman" w:hAnsi="Times New Roman"/>
          <w:sz w:val="24"/>
          <w:szCs w:val="24"/>
        </w:rPr>
        <w:t xml:space="preserve">24 </w:t>
      </w:r>
      <w:r w:rsidRPr="000109B6">
        <w:rPr>
          <w:rFonts w:ascii="Times New Roman" w:eastAsia="Times New Roman" w:hAnsi="Times New Roman"/>
          <w:sz w:val="24"/>
          <w:szCs w:val="24"/>
        </w:rPr>
        <w:t>orang (</w:t>
      </w:r>
      <w:r w:rsidRPr="000109B6">
        <w:rPr>
          <w:rFonts w:ascii="Times New Roman" w:hAnsi="Times New Roman"/>
          <w:sz w:val="24"/>
          <w:szCs w:val="24"/>
        </w:rPr>
        <w:t>58,5</w:t>
      </w:r>
      <w:r w:rsidRPr="000109B6">
        <w:rPr>
          <w:rFonts w:ascii="Times New Roman" w:eastAsia="Times New Roman" w:hAnsi="Times New Roman"/>
          <w:sz w:val="24"/>
          <w:szCs w:val="24"/>
        </w:rPr>
        <w:t xml:space="preserve">%) melakukan transfusi darah dan 35 orang (85,4%) </w:t>
      </w:r>
      <w:r w:rsidR="00E90EA5">
        <w:rPr>
          <w:rFonts w:ascii="Times New Roman" w:eastAsia="Times New Roman" w:hAnsi="Times New Roman"/>
          <w:sz w:val="24"/>
          <w:szCs w:val="24"/>
        </w:rPr>
        <w:t>BCR ABL</w:t>
      </w:r>
      <w:r w:rsidRPr="000109B6">
        <w:rPr>
          <w:rFonts w:ascii="Times New Roman" w:eastAsia="Times New Roman" w:hAnsi="Times New Roman"/>
          <w:sz w:val="24"/>
          <w:szCs w:val="24"/>
        </w:rPr>
        <w:t xml:space="preserve"> kualitatifnya positif. Adapun pengobatan yang pernah diberikan, antara lain TKI saja </w:t>
      </w:r>
      <w:r w:rsidRPr="000109B6">
        <w:rPr>
          <w:rFonts w:ascii="Times New Roman" w:hAnsi="Times New Roman"/>
          <w:sz w:val="24"/>
          <w:szCs w:val="24"/>
        </w:rPr>
        <w:t>13 orang (31</w:t>
      </w:r>
      <w:proofErr w:type="gramStart"/>
      <w:r w:rsidRPr="000109B6">
        <w:rPr>
          <w:rFonts w:ascii="Times New Roman" w:hAnsi="Times New Roman"/>
          <w:sz w:val="24"/>
          <w:szCs w:val="24"/>
        </w:rPr>
        <w:t>,7</w:t>
      </w:r>
      <w:proofErr w:type="gramEnd"/>
      <w:r w:rsidRPr="000109B6">
        <w:rPr>
          <w:rFonts w:ascii="Times New Roman" w:hAnsi="Times New Roman"/>
          <w:sz w:val="24"/>
          <w:szCs w:val="24"/>
        </w:rPr>
        <w:t xml:space="preserve">%), </w:t>
      </w:r>
      <w:r w:rsidRPr="000109B6">
        <w:rPr>
          <w:rFonts w:ascii="Times New Roman" w:eastAsia="Times New Roman" w:hAnsi="Times New Roman"/>
          <w:sz w:val="24"/>
          <w:szCs w:val="24"/>
        </w:rPr>
        <w:t xml:space="preserve">NON TKI saja </w:t>
      </w:r>
      <w:r w:rsidRPr="000109B6">
        <w:rPr>
          <w:rFonts w:ascii="Times New Roman" w:hAnsi="Times New Roman"/>
          <w:sz w:val="24"/>
          <w:szCs w:val="24"/>
        </w:rPr>
        <w:t xml:space="preserve">6 orang (14,6%), dan </w:t>
      </w:r>
      <w:r w:rsidRPr="000109B6">
        <w:rPr>
          <w:rFonts w:ascii="Times New Roman" w:eastAsia="Times New Roman" w:hAnsi="Times New Roman"/>
          <w:sz w:val="24"/>
          <w:szCs w:val="24"/>
        </w:rPr>
        <w:t xml:space="preserve">keduanya </w:t>
      </w:r>
      <w:r w:rsidRPr="000109B6">
        <w:rPr>
          <w:rFonts w:ascii="Times New Roman" w:hAnsi="Times New Roman"/>
          <w:sz w:val="24"/>
          <w:szCs w:val="24"/>
        </w:rPr>
        <w:t xml:space="preserve">22 orang (53,7%).  Lebih banyak </w:t>
      </w:r>
      <w:r w:rsidR="00E90EA5">
        <w:rPr>
          <w:rFonts w:ascii="Times New Roman" w:hAnsi="Times New Roman"/>
          <w:sz w:val="24"/>
          <w:szCs w:val="24"/>
        </w:rPr>
        <w:t>lelaki</w:t>
      </w:r>
      <w:r w:rsidRPr="000109B6">
        <w:rPr>
          <w:rFonts w:ascii="Times New Roman" w:hAnsi="Times New Roman"/>
          <w:sz w:val="24"/>
          <w:szCs w:val="24"/>
        </w:rPr>
        <w:t xml:space="preserve"> yang menderita LMK</w:t>
      </w:r>
      <w:r w:rsidR="00991D72">
        <w:rPr>
          <w:rFonts w:ascii="Times New Roman" w:hAnsi="Times New Roman"/>
          <w:sz w:val="24"/>
          <w:szCs w:val="24"/>
        </w:rPr>
        <w:t>,</w:t>
      </w:r>
      <w:r w:rsidRPr="000109B6">
        <w:rPr>
          <w:rFonts w:ascii="Times New Roman" w:hAnsi="Times New Roman"/>
          <w:sz w:val="24"/>
          <w:szCs w:val="24"/>
        </w:rPr>
        <w:t xml:space="preserve"> </w:t>
      </w:r>
      <w:r w:rsidR="00991D72">
        <w:rPr>
          <w:rFonts w:ascii="Times New Roman" w:hAnsi="Times New Roman"/>
          <w:sz w:val="24"/>
          <w:szCs w:val="24"/>
        </w:rPr>
        <w:t>dan</w:t>
      </w:r>
      <w:r w:rsidRPr="000109B6">
        <w:rPr>
          <w:rFonts w:ascii="Times New Roman" w:hAnsi="Times New Roman"/>
          <w:sz w:val="24"/>
          <w:szCs w:val="24"/>
        </w:rPr>
        <w:t xml:space="preserve"> manifestasi klinis yang paling sering muncul pada sampel adalah penurunan berat badan, dan sebagian besar ada pada fase kronis.</w:t>
      </w:r>
    </w:p>
    <w:p w:rsidR="003F1A37" w:rsidRPr="000109B6" w:rsidRDefault="003F1A37" w:rsidP="00296382">
      <w:pPr>
        <w:spacing w:after="0" w:line="240" w:lineRule="auto"/>
        <w:jc w:val="both"/>
        <w:rPr>
          <w:rFonts w:ascii="Times New Roman" w:hAnsi="Times New Roman"/>
          <w:sz w:val="24"/>
          <w:szCs w:val="24"/>
        </w:rPr>
      </w:pPr>
      <w:r w:rsidRPr="000109B6">
        <w:rPr>
          <w:rFonts w:ascii="Times New Roman" w:hAnsi="Times New Roman"/>
          <w:b/>
          <w:sz w:val="24"/>
          <w:szCs w:val="24"/>
        </w:rPr>
        <w:t xml:space="preserve">Kata </w:t>
      </w:r>
      <w:proofErr w:type="gramStart"/>
      <w:r w:rsidRPr="000109B6">
        <w:rPr>
          <w:rFonts w:ascii="Times New Roman" w:hAnsi="Times New Roman"/>
          <w:b/>
          <w:sz w:val="24"/>
          <w:szCs w:val="24"/>
        </w:rPr>
        <w:t>kunci :</w:t>
      </w:r>
      <w:proofErr w:type="gramEnd"/>
      <w:r w:rsidRPr="000109B6">
        <w:rPr>
          <w:rFonts w:ascii="Times New Roman" w:hAnsi="Times New Roman"/>
          <w:sz w:val="24"/>
          <w:szCs w:val="24"/>
        </w:rPr>
        <w:t xml:space="preserve"> Karakteristik, LMK, </w:t>
      </w:r>
      <w:r w:rsidR="00E90EA5">
        <w:rPr>
          <w:rFonts w:ascii="Times New Roman" w:hAnsi="Times New Roman"/>
          <w:sz w:val="24"/>
          <w:szCs w:val="24"/>
        </w:rPr>
        <w:t>BCR ABL</w:t>
      </w:r>
      <w:r w:rsidRPr="000109B6">
        <w:rPr>
          <w:rFonts w:ascii="Times New Roman" w:hAnsi="Times New Roman"/>
          <w:sz w:val="24"/>
          <w:szCs w:val="24"/>
        </w:rPr>
        <w:t>, RSUP Sanglah</w:t>
      </w: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BE1542" w:rsidRDefault="00BE1542" w:rsidP="00D41177">
      <w:pPr>
        <w:spacing w:before="240" w:after="0" w:line="240" w:lineRule="auto"/>
        <w:jc w:val="both"/>
        <w:rPr>
          <w:rFonts w:ascii="Times New Roman" w:hAnsi="Times New Roman"/>
          <w:b/>
          <w:sz w:val="24"/>
          <w:szCs w:val="24"/>
        </w:rPr>
      </w:pPr>
    </w:p>
    <w:p w:rsidR="00C15476" w:rsidRPr="00C15476" w:rsidRDefault="00403F61" w:rsidP="00725498">
      <w:pPr>
        <w:spacing w:after="0" w:line="240" w:lineRule="auto"/>
        <w:jc w:val="center"/>
        <w:rPr>
          <w:rFonts w:ascii="Times New Roman" w:hAnsi="Times New Roman"/>
          <w:b/>
          <w:sz w:val="28"/>
          <w:szCs w:val="28"/>
        </w:rPr>
      </w:pPr>
      <w:r>
        <w:rPr>
          <w:rFonts w:ascii="Times New Roman" w:hAnsi="Times New Roman"/>
          <w:b/>
          <w:sz w:val="28"/>
          <w:szCs w:val="28"/>
        </w:rPr>
        <w:lastRenderedPageBreak/>
        <w:t>CHARACTERISTICS OF CHRONI</w:t>
      </w:r>
      <w:bookmarkStart w:id="0" w:name="_GoBack"/>
      <w:bookmarkEnd w:id="0"/>
      <w:r>
        <w:rPr>
          <w:rFonts w:ascii="Times New Roman" w:hAnsi="Times New Roman"/>
          <w:b/>
          <w:sz w:val="28"/>
          <w:szCs w:val="28"/>
        </w:rPr>
        <w:t>C MYELOID LEUKEMIA PATIENTS IN SANGLAH HOSPITAL DENPASAR ON 2014-2015</w:t>
      </w:r>
    </w:p>
    <w:p w:rsidR="00EE7517" w:rsidRPr="000109B6" w:rsidRDefault="002D6A40" w:rsidP="002D6A40">
      <w:pPr>
        <w:spacing w:before="240" w:after="0" w:line="240" w:lineRule="auto"/>
        <w:jc w:val="center"/>
        <w:rPr>
          <w:rFonts w:ascii="Times New Roman" w:hAnsi="Times New Roman"/>
          <w:b/>
          <w:sz w:val="24"/>
          <w:szCs w:val="24"/>
        </w:rPr>
      </w:pPr>
      <w:r w:rsidRPr="000109B6">
        <w:rPr>
          <w:rFonts w:ascii="Times New Roman" w:hAnsi="Times New Roman"/>
          <w:b/>
          <w:sz w:val="24"/>
          <w:szCs w:val="24"/>
        </w:rPr>
        <w:t>ABSTRACT</w:t>
      </w:r>
    </w:p>
    <w:p w:rsidR="007C0078" w:rsidRPr="000109B6" w:rsidRDefault="007C0078" w:rsidP="00296382">
      <w:pPr>
        <w:spacing w:after="0" w:line="240" w:lineRule="auto"/>
        <w:ind w:firstLine="720"/>
        <w:jc w:val="both"/>
        <w:rPr>
          <w:rFonts w:ascii="Times New Roman" w:hAnsi="Times New Roman"/>
          <w:sz w:val="24"/>
          <w:szCs w:val="24"/>
        </w:rPr>
      </w:pPr>
      <w:r w:rsidRPr="000109B6">
        <w:rPr>
          <w:rFonts w:ascii="Times New Roman" w:hAnsi="Times New Roman"/>
          <w:color w:val="000000"/>
          <w:sz w:val="24"/>
          <w:szCs w:val="24"/>
        </w:rPr>
        <w:t>In Sanglah Hospital, there</w:t>
      </w:r>
      <w:r w:rsidR="00991D72">
        <w:rPr>
          <w:rFonts w:ascii="Times New Roman" w:hAnsi="Times New Roman"/>
          <w:color w:val="000000"/>
          <w:sz w:val="24"/>
          <w:szCs w:val="24"/>
        </w:rPr>
        <w:t xml:space="preserve"> are pretty much incidences of c</w:t>
      </w:r>
      <w:r w:rsidRPr="000109B6">
        <w:rPr>
          <w:rFonts w:ascii="Times New Roman" w:hAnsi="Times New Roman"/>
          <w:color w:val="000000"/>
          <w:sz w:val="24"/>
          <w:szCs w:val="24"/>
        </w:rPr>
        <w:t xml:space="preserve">hronic myeloid leukemia. There are some characteristic of the patients that can be </w:t>
      </w:r>
      <w:r w:rsidRPr="000109B6">
        <w:rPr>
          <w:rFonts w:ascii="Times New Roman" w:hAnsi="Times New Roman"/>
          <w:sz w:val="24"/>
          <w:szCs w:val="24"/>
        </w:rPr>
        <w:t>observed.</w:t>
      </w:r>
      <w:r w:rsidRPr="000109B6">
        <w:rPr>
          <w:rFonts w:ascii="Times New Roman" w:hAnsi="Times New Roman"/>
          <w:color w:val="000000"/>
          <w:sz w:val="24"/>
          <w:szCs w:val="24"/>
        </w:rPr>
        <w:t xml:space="preserve"> The treatments are </w:t>
      </w:r>
      <w:r w:rsidRPr="000109B6">
        <w:rPr>
          <w:rFonts w:ascii="Times New Roman" w:hAnsi="Times New Roman"/>
          <w:i/>
          <w:color w:val="000000"/>
          <w:sz w:val="24"/>
          <w:szCs w:val="24"/>
        </w:rPr>
        <w:t>Tyrosine Kinase Inhibitor</w:t>
      </w:r>
      <w:r w:rsidRPr="000109B6">
        <w:rPr>
          <w:rFonts w:ascii="Times New Roman" w:hAnsi="Times New Roman"/>
          <w:color w:val="000000"/>
          <w:sz w:val="24"/>
          <w:szCs w:val="24"/>
        </w:rPr>
        <w:t xml:space="preserve"> and </w:t>
      </w:r>
      <w:r w:rsidRPr="000109B6">
        <w:rPr>
          <w:rFonts w:ascii="Times New Roman" w:hAnsi="Times New Roman"/>
          <w:i/>
          <w:color w:val="000000"/>
          <w:sz w:val="24"/>
          <w:szCs w:val="24"/>
        </w:rPr>
        <w:t>Non Tyrosine Kinase Inhibitor</w:t>
      </w:r>
      <w:r w:rsidR="009B2371">
        <w:rPr>
          <w:rFonts w:ascii="Times New Roman" w:hAnsi="Times New Roman"/>
          <w:sz w:val="24"/>
          <w:szCs w:val="24"/>
        </w:rPr>
        <w:t xml:space="preserve">. This study use </w:t>
      </w:r>
      <w:r w:rsidRPr="000109B6">
        <w:rPr>
          <w:rFonts w:ascii="Times New Roman" w:hAnsi="Times New Roman"/>
          <w:sz w:val="24"/>
          <w:szCs w:val="24"/>
        </w:rPr>
        <w:t xml:space="preserve">total sampling method. The samples </w:t>
      </w:r>
      <w:r w:rsidR="009B2371">
        <w:rPr>
          <w:rFonts w:ascii="Times New Roman" w:hAnsi="Times New Roman"/>
          <w:sz w:val="24"/>
          <w:szCs w:val="24"/>
        </w:rPr>
        <w:t>are</w:t>
      </w:r>
      <w:r w:rsidRPr="000109B6">
        <w:rPr>
          <w:rFonts w:ascii="Times New Roman" w:hAnsi="Times New Roman"/>
          <w:sz w:val="24"/>
          <w:szCs w:val="24"/>
        </w:rPr>
        <w:t xml:space="preserve"> all patients that had been diagnosed and still seek a medications on 2014-2015. The information </w:t>
      </w:r>
      <w:r w:rsidR="009B2371">
        <w:rPr>
          <w:rFonts w:ascii="Times New Roman" w:hAnsi="Times New Roman"/>
          <w:sz w:val="24"/>
          <w:szCs w:val="24"/>
        </w:rPr>
        <w:t>are</w:t>
      </w:r>
      <w:r w:rsidRPr="000109B6">
        <w:rPr>
          <w:rFonts w:ascii="Times New Roman" w:hAnsi="Times New Roman"/>
          <w:sz w:val="24"/>
          <w:szCs w:val="24"/>
        </w:rPr>
        <w:t xml:space="preserve"> obtained from their medical record, such as gender, age, CML phase, clinical manifestation, history of blood transfusion, Complete Blood Count, </w:t>
      </w:r>
      <w:r w:rsidR="00E90EA5">
        <w:rPr>
          <w:rFonts w:ascii="Times New Roman" w:hAnsi="Times New Roman"/>
          <w:sz w:val="24"/>
          <w:szCs w:val="24"/>
        </w:rPr>
        <w:t>BCR ABL</w:t>
      </w:r>
      <w:r w:rsidRPr="000109B6">
        <w:rPr>
          <w:rFonts w:ascii="Times New Roman" w:hAnsi="Times New Roman"/>
          <w:sz w:val="24"/>
          <w:szCs w:val="24"/>
        </w:rPr>
        <w:t xml:space="preserve"> qualitative, and medication history.</w:t>
      </w:r>
      <w:r w:rsidR="00296382" w:rsidRPr="000109B6">
        <w:rPr>
          <w:rFonts w:ascii="Times New Roman" w:hAnsi="Times New Roman"/>
          <w:sz w:val="24"/>
          <w:szCs w:val="24"/>
        </w:rPr>
        <w:t xml:space="preserve"> </w:t>
      </w:r>
      <w:r w:rsidRPr="000109B6">
        <w:rPr>
          <w:rFonts w:ascii="Times New Roman" w:hAnsi="Times New Roman"/>
          <w:sz w:val="24"/>
          <w:szCs w:val="24"/>
        </w:rPr>
        <w:t>In this study, 41 cases me</w:t>
      </w:r>
      <w:r w:rsidR="009B2371">
        <w:rPr>
          <w:rFonts w:ascii="Times New Roman" w:hAnsi="Times New Roman"/>
          <w:sz w:val="24"/>
          <w:szCs w:val="24"/>
        </w:rPr>
        <w:t>e</w:t>
      </w:r>
      <w:r w:rsidRPr="000109B6">
        <w:rPr>
          <w:rFonts w:ascii="Times New Roman" w:hAnsi="Times New Roman"/>
          <w:sz w:val="24"/>
          <w:szCs w:val="24"/>
        </w:rPr>
        <w:t xml:space="preserve">t inclusion criteria and included as a samples. There </w:t>
      </w:r>
      <w:r w:rsidR="009B2371">
        <w:rPr>
          <w:rFonts w:ascii="Times New Roman" w:hAnsi="Times New Roman"/>
          <w:sz w:val="24"/>
          <w:szCs w:val="24"/>
        </w:rPr>
        <w:t>are</w:t>
      </w:r>
      <w:r w:rsidRPr="000109B6">
        <w:rPr>
          <w:rFonts w:ascii="Times New Roman" w:hAnsi="Times New Roman"/>
          <w:sz w:val="24"/>
          <w:szCs w:val="24"/>
        </w:rPr>
        <w:t xml:space="preserve"> 27 males (65</w:t>
      </w:r>
      <w:proofErr w:type="gramStart"/>
      <w:r w:rsidRPr="000109B6">
        <w:rPr>
          <w:rFonts w:ascii="Times New Roman" w:hAnsi="Times New Roman"/>
          <w:sz w:val="24"/>
          <w:szCs w:val="24"/>
        </w:rPr>
        <w:t>,9</w:t>
      </w:r>
      <w:proofErr w:type="gramEnd"/>
      <w:r w:rsidRPr="000109B6">
        <w:rPr>
          <w:rFonts w:ascii="Times New Roman" w:hAnsi="Times New Roman"/>
          <w:sz w:val="24"/>
          <w:szCs w:val="24"/>
        </w:rPr>
        <w:t xml:space="preserve">%). The mean of age </w:t>
      </w:r>
      <w:r w:rsidR="009B2371">
        <w:rPr>
          <w:rFonts w:ascii="Times New Roman" w:hAnsi="Times New Roman"/>
          <w:sz w:val="24"/>
          <w:szCs w:val="24"/>
        </w:rPr>
        <w:t>is</w:t>
      </w:r>
      <w:r w:rsidRPr="000109B6">
        <w:rPr>
          <w:rFonts w:ascii="Times New Roman" w:hAnsi="Times New Roman"/>
          <w:sz w:val="24"/>
          <w:szCs w:val="24"/>
        </w:rPr>
        <w:t xml:space="preserve"> 38</w:t>
      </w:r>
      <w:proofErr w:type="gramStart"/>
      <w:r w:rsidRPr="000109B6">
        <w:rPr>
          <w:rFonts w:ascii="Times New Roman" w:hAnsi="Times New Roman"/>
          <w:sz w:val="24"/>
          <w:szCs w:val="24"/>
        </w:rPr>
        <w:t>,22</w:t>
      </w:r>
      <w:proofErr w:type="gramEnd"/>
      <w:r w:rsidRPr="000109B6">
        <w:rPr>
          <w:rFonts w:ascii="Times New Roman" w:hAnsi="Times New Roman"/>
          <w:sz w:val="24"/>
          <w:szCs w:val="24"/>
        </w:rPr>
        <w:t xml:space="preserve">±14,09 years old. There </w:t>
      </w:r>
      <w:r w:rsidR="009B2371">
        <w:rPr>
          <w:rFonts w:ascii="Times New Roman" w:hAnsi="Times New Roman"/>
          <w:sz w:val="24"/>
          <w:szCs w:val="24"/>
        </w:rPr>
        <w:t>are</w:t>
      </w:r>
      <w:r w:rsidRPr="000109B6">
        <w:rPr>
          <w:rFonts w:ascii="Times New Roman" w:hAnsi="Times New Roman"/>
          <w:sz w:val="24"/>
          <w:szCs w:val="24"/>
        </w:rPr>
        <w:t xml:space="preserve"> 38 samples (92</w:t>
      </w:r>
      <w:proofErr w:type="gramStart"/>
      <w:r w:rsidRPr="000109B6">
        <w:rPr>
          <w:rFonts w:ascii="Times New Roman" w:hAnsi="Times New Roman"/>
          <w:sz w:val="24"/>
          <w:szCs w:val="24"/>
        </w:rPr>
        <w:t>,7</w:t>
      </w:r>
      <w:proofErr w:type="gramEnd"/>
      <w:r w:rsidRPr="000109B6">
        <w:rPr>
          <w:rFonts w:ascii="Times New Roman" w:hAnsi="Times New Roman"/>
          <w:sz w:val="24"/>
          <w:szCs w:val="24"/>
        </w:rPr>
        <w:t>%) in chronic phase, and 3 samples (7,3%) in acceleration phase. Clinical manifestation</w:t>
      </w:r>
      <w:r w:rsidR="009B2371">
        <w:rPr>
          <w:rFonts w:ascii="Times New Roman" w:hAnsi="Times New Roman"/>
          <w:sz w:val="24"/>
          <w:szCs w:val="24"/>
        </w:rPr>
        <w:t>s</w:t>
      </w:r>
      <w:r w:rsidRPr="000109B6">
        <w:rPr>
          <w:rFonts w:ascii="Times New Roman" w:hAnsi="Times New Roman"/>
          <w:sz w:val="24"/>
          <w:szCs w:val="24"/>
        </w:rPr>
        <w:t xml:space="preserve"> that </w:t>
      </w:r>
      <w:r w:rsidR="009B2371">
        <w:rPr>
          <w:rFonts w:ascii="Times New Roman" w:hAnsi="Times New Roman"/>
          <w:sz w:val="24"/>
          <w:szCs w:val="24"/>
        </w:rPr>
        <w:t>have</w:t>
      </w:r>
      <w:r w:rsidRPr="000109B6">
        <w:rPr>
          <w:rFonts w:ascii="Times New Roman" w:hAnsi="Times New Roman"/>
          <w:sz w:val="24"/>
          <w:szCs w:val="24"/>
        </w:rPr>
        <w:t xml:space="preserve"> been showed are fever </w:t>
      </w:r>
      <w:r w:rsidRPr="000109B6">
        <w:rPr>
          <w:rFonts w:ascii="Times New Roman" w:eastAsia="Times New Roman" w:hAnsi="Times New Roman"/>
          <w:sz w:val="24"/>
          <w:szCs w:val="24"/>
        </w:rPr>
        <w:t xml:space="preserve">24 samples (58,5%), decreased body weight 38 samples (92,7%), anemia 34 samples (82,9%), bleeding 15 samples (36,6%), splenomegaly 37 samples (90,2%), and hepatomegaly 11 samples (26,8%). The mean of leukocyte, hemoglobin, and thrombocyte </w:t>
      </w:r>
      <w:r w:rsidR="009B2371">
        <w:rPr>
          <w:rFonts w:ascii="Times New Roman" w:eastAsia="Times New Roman" w:hAnsi="Times New Roman"/>
          <w:sz w:val="24"/>
          <w:szCs w:val="24"/>
        </w:rPr>
        <w:t>are</w:t>
      </w:r>
      <w:r w:rsidRPr="000109B6">
        <w:rPr>
          <w:rFonts w:ascii="Times New Roman" w:eastAsia="Times New Roman" w:hAnsi="Times New Roman"/>
          <w:sz w:val="24"/>
          <w:szCs w:val="24"/>
        </w:rPr>
        <w:t xml:space="preserve"> </w:t>
      </w:r>
      <w:r w:rsidRPr="000109B6">
        <w:rPr>
          <w:rFonts w:ascii="Times New Roman" w:hAnsi="Times New Roman"/>
          <w:sz w:val="24"/>
          <w:szCs w:val="24"/>
        </w:rPr>
        <w:t>232</w:t>
      </w:r>
      <w:proofErr w:type="gramStart"/>
      <w:r w:rsidRPr="000109B6">
        <w:rPr>
          <w:rFonts w:ascii="Times New Roman" w:hAnsi="Times New Roman"/>
          <w:sz w:val="24"/>
          <w:szCs w:val="24"/>
        </w:rPr>
        <w:t>,50</w:t>
      </w:r>
      <w:proofErr w:type="gramEnd"/>
      <w:r w:rsidRPr="000109B6">
        <w:rPr>
          <w:rFonts w:ascii="Times New Roman" w:hAnsi="Times New Roman"/>
          <w:sz w:val="24"/>
          <w:szCs w:val="24"/>
        </w:rPr>
        <w:t xml:space="preserve"> x10</w:t>
      </w:r>
      <w:r w:rsidRPr="000109B6">
        <w:rPr>
          <w:rFonts w:ascii="Times New Roman" w:hAnsi="Times New Roman"/>
          <w:sz w:val="24"/>
          <w:szCs w:val="24"/>
          <w:vertAlign w:val="superscript"/>
        </w:rPr>
        <w:t>3</w:t>
      </w:r>
      <w:r w:rsidRPr="000109B6">
        <w:rPr>
          <w:rFonts w:ascii="Times New Roman" w:hAnsi="Times New Roman"/>
          <w:sz w:val="24"/>
          <w:szCs w:val="24"/>
        </w:rPr>
        <w:t>/µl</w:t>
      </w:r>
      <w:r w:rsidRPr="000109B6">
        <w:rPr>
          <w:rFonts w:ascii="Times New Roman" w:eastAsia="Times New Roman" w:hAnsi="Times New Roman"/>
          <w:sz w:val="24"/>
          <w:szCs w:val="24"/>
        </w:rPr>
        <w:t>, 9,25 g/dl, and 436,41</w:t>
      </w:r>
      <w:r w:rsidRPr="000109B6">
        <w:rPr>
          <w:rFonts w:ascii="Times New Roman" w:hAnsi="Times New Roman"/>
          <w:sz w:val="24"/>
          <w:szCs w:val="24"/>
        </w:rPr>
        <w:t>x 10</w:t>
      </w:r>
      <w:r w:rsidRPr="000109B6">
        <w:rPr>
          <w:rFonts w:ascii="Times New Roman" w:hAnsi="Times New Roman"/>
          <w:sz w:val="24"/>
          <w:szCs w:val="24"/>
          <w:vertAlign w:val="superscript"/>
        </w:rPr>
        <w:t>3</w:t>
      </w:r>
      <w:r w:rsidRPr="000109B6">
        <w:rPr>
          <w:rFonts w:ascii="Times New Roman" w:hAnsi="Times New Roman"/>
          <w:sz w:val="24"/>
          <w:szCs w:val="24"/>
        </w:rPr>
        <w:t xml:space="preserve">/µl. There </w:t>
      </w:r>
      <w:r w:rsidR="009B2371">
        <w:rPr>
          <w:rFonts w:ascii="Times New Roman" w:hAnsi="Times New Roman"/>
          <w:sz w:val="24"/>
          <w:szCs w:val="24"/>
        </w:rPr>
        <w:t>are</w:t>
      </w:r>
      <w:r w:rsidRPr="000109B6">
        <w:rPr>
          <w:rFonts w:ascii="Times New Roman" w:hAnsi="Times New Roman"/>
          <w:sz w:val="24"/>
          <w:szCs w:val="24"/>
        </w:rPr>
        <w:t xml:space="preserve"> 24 samples (58</w:t>
      </w:r>
      <w:proofErr w:type="gramStart"/>
      <w:r w:rsidRPr="000109B6">
        <w:rPr>
          <w:rFonts w:ascii="Times New Roman" w:hAnsi="Times New Roman"/>
          <w:sz w:val="24"/>
          <w:szCs w:val="24"/>
        </w:rPr>
        <w:t>,5</w:t>
      </w:r>
      <w:proofErr w:type="gramEnd"/>
      <w:r w:rsidRPr="000109B6">
        <w:rPr>
          <w:rFonts w:ascii="Times New Roman" w:hAnsi="Times New Roman"/>
          <w:sz w:val="24"/>
          <w:szCs w:val="24"/>
        </w:rPr>
        <w:t xml:space="preserve">%) </w:t>
      </w:r>
      <w:r w:rsidR="009B2371">
        <w:rPr>
          <w:rFonts w:ascii="Times New Roman" w:hAnsi="Times New Roman"/>
          <w:sz w:val="24"/>
          <w:szCs w:val="24"/>
        </w:rPr>
        <w:t>get</w:t>
      </w:r>
      <w:r w:rsidRPr="000109B6">
        <w:rPr>
          <w:rFonts w:ascii="Times New Roman" w:hAnsi="Times New Roman"/>
          <w:sz w:val="24"/>
          <w:szCs w:val="24"/>
        </w:rPr>
        <w:t xml:space="preserve"> blood transfusion. In t</w:t>
      </w:r>
      <w:r w:rsidR="008C4BA1">
        <w:rPr>
          <w:rFonts w:ascii="Times New Roman" w:hAnsi="Times New Roman"/>
          <w:sz w:val="24"/>
          <w:szCs w:val="24"/>
        </w:rPr>
        <w:t>his study 35 samples (85</w:t>
      </w:r>
      <w:proofErr w:type="gramStart"/>
      <w:r w:rsidR="008C4BA1">
        <w:rPr>
          <w:rFonts w:ascii="Times New Roman" w:hAnsi="Times New Roman"/>
          <w:sz w:val="24"/>
          <w:szCs w:val="24"/>
        </w:rPr>
        <w:t>,4</w:t>
      </w:r>
      <w:proofErr w:type="gramEnd"/>
      <w:r w:rsidR="008C4BA1">
        <w:rPr>
          <w:rFonts w:ascii="Times New Roman" w:hAnsi="Times New Roman"/>
          <w:sz w:val="24"/>
          <w:szCs w:val="24"/>
        </w:rPr>
        <w:t>%) have</w:t>
      </w:r>
      <w:r w:rsidRPr="000109B6">
        <w:rPr>
          <w:rFonts w:ascii="Times New Roman" w:hAnsi="Times New Roman"/>
          <w:sz w:val="24"/>
          <w:szCs w:val="24"/>
        </w:rPr>
        <w:t xml:space="preserve"> positive </w:t>
      </w:r>
      <w:r w:rsidR="00E90EA5">
        <w:rPr>
          <w:rFonts w:ascii="Times New Roman" w:hAnsi="Times New Roman"/>
          <w:sz w:val="24"/>
          <w:szCs w:val="24"/>
        </w:rPr>
        <w:t>BCR ABL</w:t>
      </w:r>
      <w:r w:rsidRPr="000109B6">
        <w:rPr>
          <w:rFonts w:ascii="Times New Roman" w:hAnsi="Times New Roman"/>
          <w:sz w:val="24"/>
          <w:szCs w:val="24"/>
        </w:rPr>
        <w:t xml:space="preserve"> qualitative.</w:t>
      </w:r>
      <w:r w:rsidRPr="000109B6">
        <w:rPr>
          <w:rFonts w:ascii="Times New Roman" w:eastAsia="Times New Roman" w:hAnsi="Times New Roman"/>
          <w:sz w:val="24"/>
          <w:szCs w:val="24"/>
        </w:rPr>
        <w:t xml:space="preserve"> </w:t>
      </w:r>
      <w:r w:rsidRPr="000109B6">
        <w:rPr>
          <w:rFonts w:ascii="Times New Roman" w:hAnsi="Times New Roman"/>
          <w:sz w:val="24"/>
          <w:szCs w:val="24"/>
        </w:rPr>
        <w:t xml:space="preserve">The medication history </w:t>
      </w:r>
      <w:r w:rsidR="008C4BA1">
        <w:rPr>
          <w:rFonts w:ascii="Times New Roman" w:hAnsi="Times New Roman"/>
          <w:sz w:val="24"/>
          <w:szCs w:val="24"/>
        </w:rPr>
        <w:t>are</w:t>
      </w:r>
      <w:r w:rsidRPr="000109B6">
        <w:rPr>
          <w:rFonts w:ascii="Times New Roman" w:hAnsi="Times New Roman"/>
          <w:sz w:val="24"/>
          <w:szCs w:val="24"/>
        </w:rPr>
        <w:t xml:space="preserve"> </w:t>
      </w:r>
      <w:r w:rsidR="00C15476">
        <w:rPr>
          <w:rFonts w:ascii="Times New Roman" w:eastAsia="Times New Roman" w:hAnsi="Times New Roman"/>
          <w:sz w:val="24"/>
          <w:szCs w:val="24"/>
        </w:rPr>
        <w:t xml:space="preserve">TKI </w:t>
      </w:r>
      <w:proofErr w:type="gramStart"/>
      <w:r w:rsidR="00C15476">
        <w:rPr>
          <w:rFonts w:ascii="Times New Roman" w:eastAsia="Times New Roman" w:hAnsi="Times New Roman"/>
          <w:sz w:val="24"/>
          <w:szCs w:val="24"/>
        </w:rPr>
        <w:t>only :</w:t>
      </w:r>
      <w:proofErr w:type="gramEnd"/>
      <w:r w:rsidRPr="000109B6">
        <w:rPr>
          <w:rFonts w:ascii="Times New Roman" w:eastAsia="Times New Roman" w:hAnsi="Times New Roman"/>
          <w:sz w:val="24"/>
          <w:szCs w:val="24"/>
        </w:rPr>
        <w:t xml:space="preserve"> </w:t>
      </w:r>
      <w:r w:rsidRPr="000109B6">
        <w:rPr>
          <w:rFonts w:ascii="Times New Roman" w:hAnsi="Times New Roman"/>
          <w:sz w:val="24"/>
          <w:szCs w:val="24"/>
        </w:rPr>
        <w:t xml:space="preserve">13 samples (31,7%), </w:t>
      </w:r>
      <w:r w:rsidR="00C15476">
        <w:rPr>
          <w:rFonts w:ascii="Times New Roman" w:eastAsia="Times New Roman" w:hAnsi="Times New Roman"/>
          <w:sz w:val="24"/>
          <w:szCs w:val="24"/>
        </w:rPr>
        <w:t>NON TKI only :</w:t>
      </w:r>
      <w:r w:rsidRPr="000109B6">
        <w:rPr>
          <w:rFonts w:ascii="Times New Roman" w:eastAsia="Times New Roman" w:hAnsi="Times New Roman"/>
          <w:sz w:val="24"/>
          <w:szCs w:val="24"/>
        </w:rPr>
        <w:t xml:space="preserve"> </w:t>
      </w:r>
      <w:r w:rsidRPr="000109B6">
        <w:rPr>
          <w:rFonts w:ascii="Times New Roman" w:hAnsi="Times New Roman"/>
          <w:sz w:val="24"/>
          <w:szCs w:val="24"/>
        </w:rPr>
        <w:t>6 samples (14,6%), and both 22 samples (53,7%).</w:t>
      </w:r>
      <w:r w:rsidRPr="000109B6">
        <w:rPr>
          <w:rFonts w:ascii="Times New Roman" w:eastAsia="Times New Roman" w:hAnsi="Times New Roman"/>
          <w:sz w:val="24"/>
          <w:szCs w:val="24"/>
        </w:rPr>
        <w:t xml:space="preserve"> </w:t>
      </w:r>
      <w:r w:rsidR="008C4BA1">
        <w:rPr>
          <w:rFonts w:ascii="Times New Roman" w:hAnsi="Times New Roman"/>
          <w:sz w:val="24"/>
          <w:szCs w:val="24"/>
        </w:rPr>
        <w:t>Males is</w:t>
      </w:r>
      <w:r w:rsidRPr="000109B6">
        <w:rPr>
          <w:rFonts w:ascii="Times New Roman" w:hAnsi="Times New Roman"/>
          <w:sz w:val="24"/>
          <w:szCs w:val="24"/>
        </w:rPr>
        <w:t xml:space="preserve"> d</w:t>
      </w:r>
      <w:r w:rsidR="008C4BA1">
        <w:rPr>
          <w:rFonts w:ascii="Times New Roman" w:hAnsi="Times New Roman"/>
          <w:sz w:val="24"/>
          <w:szCs w:val="24"/>
        </w:rPr>
        <w:t>ominant, decreased body weight i</w:t>
      </w:r>
      <w:r w:rsidRPr="000109B6">
        <w:rPr>
          <w:rFonts w:ascii="Times New Roman" w:hAnsi="Times New Roman"/>
          <w:sz w:val="24"/>
          <w:szCs w:val="24"/>
        </w:rPr>
        <w:t>s</w:t>
      </w:r>
      <w:r w:rsidR="008C4BA1">
        <w:rPr>
          <w:rFonts w:ascii="Times New Roman" w:hAnsi="Times New Roman"/>
          <w:sz w:val="24"/>
          <w:szCs w:val="24"/>
        </w:rPr>
        <w:t xml:space="preserve"> the</w:t>
      </w:r>
      <w:r w:rsidRPr="000109B6">
        <w:rPr>
          <w:rFonts w:ascii="Times New Roman" w:hAnsi="Times New Roman"/>
          <w:sz w:val="24"/>
          <w:szCs w:val="24"/>
        </w:rPr>
        <w:t xml:space="preserve"> most common clinical manifestation </w:t>
      </w:r>
      <w:proofErr w:type="gramStart"/>
      <w:r w:rsidRPr="000109B6">
        <w:rPr>
          <w:rFonts w:ascii="Times New Roman" w:hAnsi="Times New Roman"/>
          <w:sz w:val="24"/>
          <w:szCs w:val="24"/>
        </w:rPr>
        <w:t>an</w:t>
      </w:r>
      <w:r w:rsidR="008C4BA1">
        <w:rPr>
          <w:rFonts w:ascii="Times New Roman" w:hAnsi="Times New Roman"/>
          <w:sz w:val="24"/>
          <w:szCs w:val="24"/>
        </w:rPr>
        <w:t>d  most</w:t>
      </w:r>
      <w:proofErr w:type="gramEnd"/>
      <w:r w:rsidR="008C4BA1">
        <w:rPr>
          <w:rFonts w:ascii="Times New Roman" w:hAnsi="Times New Roman"/>
          <w:sz w:val="24"/>
          <w:szCs w:val="24"/>
        </w:rPr>
        <w:t xml:space="preserve"> cases</w:t>
      </w:r>
      <w:r w:rsidR="00CB5812">
        <w:rPr>
          <w:rFonts w:ascii="Times New Roman" w:hAnsi="Times New Roman"/>
          <w:sz w:val="24"/>
          <w:szCs w:val="24"/>
        </w:rPr>
        <w:t xml:space="preserve"> is</w:t>
      </w:r>
      <w:r w:rsidR="008C4BA1">
        <w:rPr>
          <w:rFonts w:ascii="Times New Roman" w:hAnsi="Times New Roman"/>
          <w:sz w:val="24"/>
          <w:szCs w:val="24"/>
        </w:rPr>
        <w:t xml:space="preserve"> in chronic phase.</w:t>
      </w:r>
    </w:p>
    <w:p w:rsidR="007C0078" w:rsidRPr="000109B6" w:rsidRDefault="007C0078" w:rsidP="00296382">
      <w:pPr>
        <w:spacing w:after="0" w:line="240" w:lineRule="auto"/>
        <w:jc w:val="both"/>
        <w:rPr>
          <w:rFonts w:ascii="Times New Roman" w:hAnsi="Times New Roman"/>
          <w:sz w:val="24"/>
          <w:szCs w:val="24"/>
        </w:rPr>
      </w:pPr>
      <w:proofErr w:type="gramStart"/>
      <w:r w:rsidRPr="000109B6">
        <w:rPr>
          <w:rFonts w:ascii="Times New Roman" w:hAnsi="Times New Roman"/>
          <w:b/>
          <w:sz w:val="24"/>
          <w:szCs w:val="24"/>
        </w:rPr>
        <w:t>Keywords :</w:t>
      </w:r>
      <w:proofErr w:type="gramEnd"/>
      <w:r w:rsidRPr="000109B6">
        <w:rPr>
          <w:rFonts w:ascii="Times New Roman" w:hAnsi="Times New Roman"/>
          <w:sz w:val="24"/>
          <w:szCs w:val="24"/>
        </w:rPr>
        <w:t xml:space="preserve"> Characteristic, CML, </w:t>
      </w:r>
      <w:r w:rsidR="00E90EA5">
        <w:rPr>
          <w:rFonts w:ascii="Times New Roman" w:hAnsi="Times New Roman"/>
          <w:sz w:val="24"/>
          <w:szCs w:val="24"/>
        </w:rPr>
        <w:t>BCR ABL</w:t>
      </w:r>
      <w:r w:rsidRPr="000109B6">
        <w:rPr>
          <w:rFonts w:ascii="Times New Roman" w:hAnsi="Times New Roman"/>
          <w:sz w:val="24"/>
          <w:szCs w:val="24"/>
        </w:rPr>
        <w:t>, RSUP Sanglah.</w:t>
      </w:r>
    </w:p>
    <w:p w:rsidR="003E1D6E" w:rsidRDefault="003E1D6E" w:rsidP="00296382">
      <w:pPr>
        <w:spacing w:after="0" w:line="360" w:lineRule="auto"/>
        <w:ind w:firstLine="720"/>
        <w:jc w:val="both"/>
        <w:rPr>
          <w:rFonts w:ascii="Times New Roman" w:hAnsi="Times New Roman"/>
          <w:sz w:val="24"/>
          <w:szCs w:val="24"/>
        </w:rPr>
        <w:sectPr w:rsidR="003E1D6E" w:rsidSect="003E1D6E">
          <w:pgSz w:w="12240" w:h="15840"/>
          <w:pgMar w:top="1440" w:right="1440" w:bottom="1440" w:left="1440" w:header="720" w:footer="720" w:gutter="0"/>
          <w:cols w:space="720"/>
          <w:docGrid w:linePitch="360"/>
        </w:sectPr>
      </w:pPr>
    </w:p>
    <w:p w:rsidR="000860DD" w:rsidRDefault="000860DD"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Default="00C15476" w:rsidP="00296382">
      <w:pPr>
        <w:spacing w:after="0" w:line="360" w:lineRule="auto"/>
        <w:ind w:firstLine="720"/>
        <w:jc w:val="both"/>
        <w:rPr>
          <w:rFonts w:ascii="Times New Roman" w:hAnsi="Times New Roman"/>
          <w:sz w:val="24"/>
          <w:szCs w:val="24"/>
        </w:rPr>
      </w:pPr>
    </w:p>
    <w:p w:rsidR="00C15476" w:rsidRPr="000109B6" w:rsidRDefault="00C15476" w:rsidP="00296382">
      <w:pPr>
        <w:spacing w:after="0" w:line="360" w:lineRule="auto"/>
        <w:ind w:firstLine="720"/>
        <w:jc w:val="both"/>
        <w:rPr>
          <w:rFonts w:ascii="Times New Roman" w:hAnsi="Times New Roman"/>
          <w:sz w:val="24"/>
          <w:szCs w:val="24"/>
        </w:rPr>
        <w:sectPr w:rsidR="00C15476" w:rsidRPr="000109B6" w:rsidSect="003E1D6E">
          <w:type w:val="continuous"/>
          <w:pgSz w:w="12240" w:h="15840"/>
          <w:pgMar w:top="1440" w:right="1440" w:bottom="1440" w:left="1440" w:header="720" w:footer="720" w:gutter="0"/>
          <w:cols w:num="2" w:space="720"/>
          <w:docGrid w:linePitch="360"/>
        </w:sectPr>
      </w:pPr>
    </w:p>
    <w:p w:rsidR="0082460A" w:rsidRPr="00403F61" w:rsidRDefault="0082460A" w:rsidP="00296382">
      <w:pPr>
        <w:spacing w:before="240" w:after="0" w:line="360" w:lineRule="auto"/>
        <w:jc w:val="both"/>
        <w:rPr>
          <w:rFonts w:ascii="Times New Roman" w:hAnsi="Times New Roman"/>
          <w:b/>
          <w:sz w:val="24"/>
          <w:szCs w:val="24"/>
        </w:rPr>
      </w:pPr>
      <w:r w:rsidRPr="00403F61">
        <w:rPr>
          <w:rFonts w:ascii="Times New Roman" w:hAnsi="Times New Roman"/>
          <w:b/>
          <w:sz w:val="24"/>
          <w:szCs w:val="24"/>
        </w:rPr>
        <w:lastRenderedPageBreak/>
        <w:t>PENDAHULUAN</w:t>
      </w:r>
    </w:p>
    <w:p w:rsidR="005A377D" w:rsidRPr="000109B6" w:rsidRDefault="005A377D" w:rsidP="00296382">
      <w:pPr>
        <w:spacing w:after="0" w:line="360" w:lineRule="auto"/>
        <w:ind w:firstLine="720"/>
        <w:jc w:val="both"/>
        <w:rPr>
          <w:rFonts w:ascii="Times New Roman" w:hAnsi="Times New Roman"/>
          <w:sz w:val="24"/>
          <w:szCs w:val="24"/>
        </w:rPr>
      </w:pPr>
      <w:r w:rsidRPr="000109B6">
        <w:rPr>
          <w:rFonts w:ascii="Times New Roman" w:hAnsi="Times New Roman"/>
          <w:sz w:val="24"/>
          <w:szCs w:val="24"/>
        </w:rPr>
        <w:t xml:space="preserve">Leukemia mieloid kronik </w:t>
      </w:r>
      <w:r w:rsidR="00862CAF">
        <w:rPr>
          <w:rFonts w:ascii="Times New Roman" w:hAnsi="Times New Roman"/>
          <w:sz w:val="24"/>
          <w:szCs w:val="24"/>
        </w:rPr>
        <w:t xml:space="preserve">(LMK) </w:t>
      </w:r>
      <w:r w:rsidRPr="000109B6">
        <w:rPr>
          <w:rFonts w:ascii="Times New Roman" w:hAnsi="Times New Roman"/>
          <w:sz w:val="24"/>
          <w:szCs w:val="24"/>
        </w:rPr>
        <w:t xml:space="preserve">merupakan penyakit keganasan sel yang berasal dari sel hematopoetik. Insiden LMK terjadi pada </w:t>
      </w:r>
      <w:proofErr w:type="gramStart"/>
      <w:r w:rsidRPr="000109B6">
        <w:rPr>
          <w:rFonts w:ascii="Times New Roman" w:hAnsi="Times New Roman"/>
          <w:sz w:val="24"/>
          <w:szCs w:val="24"/>
        </w:rPr>
        <w:t>usia</w:t>
      </w:r>
      <w:proofErr w:type="gramEnd"/>
      <w:r w:rsidRPr="000109B6">
        <w:rPr>
          <w:rFonts w:ascii="Times New Roman" w:hAnsi="Times New Roman"/>
          <w:sz w:val="24"/>
          <w:szCs w:val="24"/>
        </w:rPr>
        <w:t xml:space="preserve"> anak-anak, remaja, dan dewasa. Puncaknya pada </w:t>
      </w:r>
      <w:proofErr w:type="gramStart"/>
      <w:r w:rsidRPr="000109B6">
        <w:rPr>
          <w:rFonts w:ascii="Times New Roman" w:hAnsi="Times New Roman"/>
          <w:sz w:val="24"/>
          <w:szCs w:val="24"/>
        </w:rPr>
        <w:t>usia</w:t>
      </w:r>
      <w:proofErr w:type="gramEnd"/>
      <w:r w:rsidRPr="000109B6">
        <w:rPr>
          <w:rFonts w:ascii="Times New Roman" w:hAnsi="Times New Roman"/>
          <w:sz w:val="24"/>
          <w:szCs w:val="24"/>
        </w:rPr>
        <w:t xml:space="preserve"> 50-60 tahun. Pada CML ditemukan translokasi resiprokal kromosom 9 dan 22</w:t>
      </w:r>
      <w:proofErr w:type="gramStart"/>
      <w:r w:rsidRPr="000109B6">
        <w:rPr>
          <w:rFonts w:ascii="Times New Roman" w:hAnsi="Times New Roman"/>
          <w:sz w:val="24"/>
          <w:szCs w:val="24"/>
        </w:rPr>
        <w:t>,  yang</w:t>
      </w:r>
      <w:proofErr w:type="gramEnd"/>
      <w:r w:rsidRPr="000109B6">
        <w:rPr>
          <w:rFonts w:ascii="Times New Roman" w:hAnsi="Times New Roman"/>
          <w:sz w:val="24"/>
          <w:szCs w:val="24"/>
        </w:rPr>
        <w:t xml:space="preserve"> mengakibat</w:t>
      </w:r>
      <w:r w:rsidR="004321ED" w:rsidRPr="000109B6">
        <w:rPr>
          <w:rFonts w:ascii="Times New Roman" w:hAnsi="Times New Roman"/>
          <w:sz w:val="24"/>
          <w:szCs w:val="24"/>
        </w:rPr>
        <w:t xml:space="preserve">kan terbentuk onkogen </w:t>
      </w:r>
      <w:r w:rsidR="00E90EA5">
        <w:rPr>
          <w:rFonts w:ascii="Times New Roman" w:hAnsi="Times New Roman"/>
          <w:sz w:val="24"/>
          <w:szCs w:val="24"/>
        </w:rPr>
        <w:t>BCR ABL</w:t>
      </w:r>
      <w:r w:rsidR="004321ED" w:rsidRPr="000109B6">
        <w:rPr>
          <w:rFonts w:ascii="Times New Roman" w:hAnsi="Times New Roman"/>
          <w:sz w:val="24"/>
          <w:szCs w:val="24"/>
        </w:rPr>
        <w:t>.</w:t>
      </w:r>
      <w:r w:rsidR="004321ED" w:rsidRPr="000109B6">
        <w:rPr>
          <w:rFonts w:ascii="Times New Roman" w:hAnsi="Times New Roman"/>
          <w:sz w:val="24"/>
          <w:szCs w:val="24"/>
          <w:vertAlign w:val="superscript"/>
        </w:rPr>
        <w:t>1</w:t>
      </w:r>
    </w:p>
    <w:p w:rsidR="005A377D" w:rsidRPr="000109B6" w:rsidRDefault="006437D7" w:rsidP="004E02D5">
      <w:pPr>
        <w:spacing w:after="0" w:line="360" w:lineRule="auto"/>
        <w:ind w:firstLine="720"/>
        <w:jc w:val="both"/>
        <w:rPr>
          <w:rFonts w:ascii="Times New Roman" w:hAnsi="Times New Roman"/>
          <w:color w:val="000000"/>
          <w:sz w:val="24"/>
          <w:szCs w:val="24"/>
        </w:rPr>
      </w:pPr>
      <w:r w:rsidRPr="000109B6">
        <w:rPr>
          <w:rFonts w:ascii="Times New Roman" w:hAnsi="Times New Roman"/>
          <w:color w:val="000000"/>
          <w:sz w:val="24"/>
          <w:szCs w:val="24"/>
        </w:rPr>
        <w:t>Di USA d</w:t>
      </w:r>
      <w:r w:rsidR="005A377D" w:rsidRPr="000109B6">
        <w:rPr>
          <w:rFonts w:ascii="Times New Roman" w:hAnsi="Times New Roman"/>
          <w:color w:val="000000"/>
          <w:sz w:val="24"/>
          <w:szCs w:val="24"/>
        </w:rPr>
        <w:t>ari tahun 2008</w:t>
      </w:r>
      <w:r w:rsidR="00CA26B5" w:rsidRPr="000109B6">
        <w:rPr>
          <w:rFonts w:ascii="Times New Roman" w:hAnsi="Times New Roman"/>
          <w:color w:val="000000"/>
          <w:sz w:val="24"/>
          <w:szCs w:val="24"/>
        </w:rPr>
        <w:t xml:space="preserve"> </w:t>
      </w:r>
      <w:r w:rsidR="005A377D" w:rsidRPr="000109B6">
        <w:rPr>
          <w:rFonts w:ascii="Times New Roman" w:hAnsi="Times New Roman"/>
          <w:color w:val="000000"/>
          <w:sz w:val="24"/>
          <w:szCs w:val="24"/>
        </w:rPr>
        <w:t>-</w:t>
      </w:r>
      <w:r w:rsidR="00CA26B5" w:rsidRPr="000109B6">
        <w:rPr>
          <w:rFonts w:ascii="Times New Roman" w:hAnsi="Times New Roman"/>
          <w:color w:val="000000"/>
          <w:sz w:val="24"/>
          <w:szCs w:val="24"/>
        </w:rPr>
        <w:t xml:space="preserve"> </w:t>
      </w:r>
      <w:r w:rsidR="005A377D" w:rsidRPr="000109B6">
        <w:rPr>
          <w:rFonts w:ascii="Times New Roman" w:hAnsi="Times New Roman"/>
          <w:color w:val="000000"/>
          <w:sz w:val="24"/>
          <w:szCs w:val="24"/>
        </w:rPr>
        <w:t>2012 ditemukan kasus baru dan kematian berturut-turut sebesar 1</w:t>
      </w:r>
      <w:proofErr w:type="gramStart"/>
      <w:r w:rsidR="005A377D" w:rsidRPr="000109B6">
        <w:rPr>
          <w:rFonts w:ascii="Times New Roman" w:hAnsi="Times New Roman"/>
          <w:color w:val="000000"/>
          <w:sz w:val="24"/>
          <w:szCs w:val="24"/>
        </w:rPr>
        <w:t>,7</w:t>
      </w:r>
      <w:proofErr w:type="gramEnd"/>
      <w:r w:rsidR="005A377D" w:rsidRPr="000109B6">
        <w:rPr>
          <w:rFonts w:ascii="Times New Roman" w:hAnsi="Times New Roman"/>
          <w:color w:val="000000"/>
          <w:sz w:val="24"/>
          <w:szCs w:val="24"/>
        </w:rPr>
        <w:t xml:space="preserve"> per 100.000 dan 0,3 per 100.000 </w:t>
      </w:r>
      <w:r w:rsidR="00E90EA5">
        <w:rPr>
          <w:rFonts w:ascii="Times New Roman" w:hAnsi="Times New Roman"/>
          <w:color w:val="000000"/>
          <w:sz w:val="24"/>
          <w:szCs w:val="24"/>
        </w:rPr>
        <w:t>lelaki</w:t>
      </w:r>
      <w:r w:rsidR="005A377D" w:rsidRPr="000109B6">
        <w:rPr>
          <w:rFonts w:ascii="Times New Roman" w:hAnsi="Times New Roman"/>
          <w:color w:val="000000"/>
          <w:sz w:val="24"/>
          <w:szCs w:val="24"/>
        </w:rPr>
        <w:t xml:space="preserve"> dan perempuan setiap tahunnya. Menurut data tahun 2005</w:t>
      </w:r>
      <w:r w:rsidR="00CA26B5" w:rsidRPr="000109B6">
        <w:rPr>
          <w:rFonts w:ascii="Times New Roman" w:hAnsi="Times New Roman"/>
          <w:color w:val="000000"/>
          <w:sz w:val="24"/>
          <w:szCs w:val="24"/>
        </w:rPr>
        <w:t xml:space="preserve"> </w:t>
      </w:r>
      <w:r w:rsidR="005A377D" w:rsidRPr="000109B6">
        <w:rPr>
          <w:rFonts w:ascii="Times New Roman" w:hAnsi="Times New Roman"/>
          <w:color w:val="000000"/>
          <w:sz w:val="24"/>
          <w:szCs w:val="24"/>
        </w:rPr>
        <w:t>-</w:t>
      </w:r>
      <w:r w:rsidR="00CA26B5" w:rsidRPr="000109B6">
        <w:rPr>
          <w:rFonts w:ascii="Times New Roman" w:hAnsi="Times New Roman"/>
          <w:color w:val="000000"/>
          <w:sz w:val="24"/>
          <w:szCs w:val="24"/>
        </w:rPr>
        <w:t xml:space="preserve"> </w:t>
      </w:r>
      <w:r w:rsidR="005A377D" w:rsidRPr="000109B6">
        <w:rPr>
          <w:rFonts w:ascii="Times New Roman" w:hAnsi="Times New Roman"/>
          <w:color w:val="000000"/>
          <w:sz w:val="24"/>
          <w:szCs w:val="24"/>
        </w:rPr>
        <w:t>2011, penderita CML memiliki harapan untuk hidup selama 5 tahun sebesar 63</w:t>
      </w:r>
      <w:proofErr w:type="gramStart"/>
      <w:r w:rsidR="005A377D" w:rsidRPr="000109B6">
        <w:rPr>
          <w:rFonts w:ascii="Times New Roman" w:hAnsi="Times New Roman"/>
          <w:color w:val="000000"/>
          <w:sz w:val="24"/>
          <w:szCs w:val="24"/>
        </w:rPr>
        <w:t>,2</w:t>
      </w:r>
      <w:proofErr w:type="gramEnd"/>
      <w:r w:rsidR="005A377D" w:rsidRPr="000109B6">
        <w:rPr>
          <w:rFonts w:ascii="Times New Roman" w:hAnsi="Times New Roman"/>
          <w:color w:val="000000"/>
          <w:sz w:val="24"/>
          <w:szCs w:val="24"/>
        </w:rPr>
        <w:t>%. Dalam perkembangannya</w:t>
      </w:r>
      <w:r w:rsidR="00CA26B5" w:rsidRPr="000109B6">
        <w:rPr>
          <w:rFonts w:ascii="Times New Roman" w:hAnsi="Times New Roman"/>
          <w:color w:val="000000"/>
          <w:sz w:val="24"/>
          <w:szCs w:val="24"/>
        </w:rPr>
        <w:t xml:space="preserve">, kematian akibat CML cenderung </w:t>
      </w:r>
      <w:r w:rsidR="005A377D" w:rsidRPr="000109B6">
        <w:rPr>
          <w:rFonts w:ascii="Times New Roman" w:hAnsi="Times New Roman"/>
          <w:color w:val="000000"/>
          <w:sz w:val="24"/>
          <w:szCs w:val="24"/>
        </w:rPr>
        <w:t>menurun.</w:t>
      </w:r>
      <w:r w:rsidR="004321ED" w:rsidRPr="000109B6">
        <w:rPr>
          <w:rFonts w:ascii="Times New Roman" w:hAnsi="Times New Roman"/>
          <w:color w:val="000000"/>
          <w:sz w:val="24"/>
          <w:szCs w:val="24"/>
          <w:vertAlign w:val="superscript"/>
        </w:rPr>
        <w:t>2</w:t>
      </w:r>
    </w:p>
    <w:p w:rsidR="00774701" w:rsidRPr="000109B6" w:rsidRDefault="00774701" w:rsidP="00296382">
      <w:pPr>
        <w:spacing w:after="0" w:line="360" w:lineRule="auto"/>
        <w:ind w:firstLine="720"/>
        <w:jc w:val="both"/>
        <w:rPr>
          <w:rFonts w:ascii="Times New Roman" w:hAnsi="Times New Roman"/>
          <w:i/>
          <w:sz w:val="24"/>
          <w:szCs w:val="24"/>
        </w:rPr>
      </w:pPr>
      <w:r w:rsidRPr="000109B6">
        <w:rPr>
          <w:rFonts w:ascii="Times New Roman" w:hAnsi="Times New Roman"/>
          <w:color w:val="000000"/>
          <w:sz w:val="24"/>
          <w:szCs w:val="24"/>
        </w:rPr>
        <w:t>Terapi untuk penderita CML disesuaikan dengan fase penyakitnya. Imatinib merupakan obat yang diberikan untuk menghambat kerja do</w:t>
      </w:r>
      <w:r w:rsidR="004321ED" w:rsidRPr="000109B6">
        <w:rPr>
          <w:rFonts w:ascii="Times New Roman" w:hAnsi="Times New Roman"/>
          <w:color w:val="000000"/>
          <w:sz w:val="24"/>
          <w:szCs w:val="24"/>
        </w:rPr>
        <w:t xml:space="preserve">main </w:t>
      </w:r>
      <w:r w:rsidR="00E90EA5">
        <w:rPr>
          <w:rFonts w:ascii="Times New Roman" w:hAnsi="Times New Roman"/>
          <w:color w:val="000000"/>
          <w:sz w:val="24"/>
          <w:szCs w:val="24"/>
        </w:rPr>
        <w:t>BCR ABL</w:t>
      </w:r>
      <w:r w:rsidR="004321ED" w:rsidRPr="000109B6">
        <w:rPr>
          <w:rFonts w:ascii="Times New Roman" w:hAnsi="Times New Roman"/>
          <w:color w:val="000000"/>
          <w:sz w:val="24"/>
          <w:szCs w:val="24"/>
        </w:rPr>
        <w:t xml:space="preserve"> tyrosine kinase.</w:t>
      </w:r>
      <w:r w:rsidR="004321ED" w:rsidRPr="000109B6">
        <w:rPr>
          <w:rFonts w:ascii="Times New Roman" w:hAnsi="Times New Roman"/>
          <w:color w:val="000000"/>
          <w:sz w:val="24"/>
          <w:szCs w:val="24"/>
          <w:vertAlign w:val="superscript"/>
        </w:rPr>
        <w:t>1</w:t>
      </w:r>
      <w:r w:rsidR="004321ED" w:rsidRPr="000109B6">
        <w:rPr>
          <w:rFonts w:ascii="Times New Roman" w:hAnsi="Times New Roman"/>
          <w:color w:val="000000"/>
          <w:sz w:val="24"/>
          <w:szCs w:val="24"/>
        </w:rPr>
        <w:t xml:space="preserve"> </w:t>
      </w:r>
      <w:r w:rsidRPr="000109B6">
        <w:rPr>
          <w:rFonts w:ascii="Times New Roman" w:hAnsi="Times New Roman"/>
          <w:sz w:val="24"/>
          <w:szCs w:val="24"/>
        </w:rPr>
        <w:t xml:space="preserve">Pada fase kronis Imatinib bisa digunakan sebagai pengobatan baris pertama, kedua, dan </w:t>
      </w:r>
      <w:r w:rsidRPr="000109B6">
        <w:rPr>
          <w:rFonts w:ascii="Times New Roman" w:hAnsi="Times New Roman"/>
          <w:i/>
          <w:sz w:val="24"/>
          <w:szCs w:val="24"/>
        </w:rPr>
        <w:t>advanced disease (accelerated and blast crisis</w:t>
      </w:r>
      <w:r w:rsidRPr="000109B6">
        <w:rPr>
          <w:rFonts w:ascii="Times New Roman" w:hAnsi="Times New Roman"/>
          <w:sz w:val="24"/>
          <w:szCs w:val="24"/>
        </w:rPr>
        <w:t>). Pada penderita LMK yang memiliki respon buruk pada imatinib, bisa digantikan d</w:t>
      </w:r>
      <w:r w:rsidR="004321ED" w:rsidRPr="000109B6">
        <w:rPr>
          <w:rFonts w:ascii="Times New Roman" w:hAnsi="Times New Roman"/>
          <w:sz w:val="24"/>
          <w:szCs w:val="24"/>
        </w:rPr>
        <w:t>engan dasatinib dan nilotinib.</w:t>
      </w:r>
      <w:r w:rsidR="004321ED" w:rsidRPr="000109B6">
        <w:rPr>
          <w:rFonts w:ascii="Times New Roman" w:hAnsi="Times New Roman"/>
          <w:sz w:val="24"/>
          <w:szCs w:val="24"/>
          <w:vertAlign w:val="superscript"/>
        </w:rPr>
        <w:t>3</w:t>
      </w:r>
      <w:r w:rsidR="006437D7" w:rsidRPr="000109B6">
        <w:rPr>
          <w:rFonts w:ascii="Times New Roman" w:hAnsi="Times New Roman"/>
          <w:sz w:val="24"/>
          <w:szCs w:val="24"/>
        </w:rPr>
        <w:t xml:space="preserve"> Ada </w:t>
      </w:r>
      <w:r w:rsidR="006437D7" w:rsidRPr="000109B6">
        <w:rPr>
          <w:rFonts w:ascii="Times New Roman" w:hAnsi="Times New Roman"/>
          <w:sz w:val="24"/>
          <w:szCs w:val="24"/>
        </w:rPr>
        <w:lastRenderedPageBreak/>
        <w:t xml:space="preserve">beberapa pilihan terapi yang bisa digunakan seperti </w:t>
      </w:r>
      <w:r w:rsidR="006437D7" w:rsidRPr="000109B6">
        <w:rPr>
          <w:rFonts w:ascii="Times New Roman" w:hAnsi="Times New Roman"/>
          <w:i/>
          <w:sz w:val="24"/>
          <w:szCs w:val="24"/>
        </w:rPr>
        <w:t>Donor Lymphocyte Infusion</w:t>
      </w:r>
      <w:r w:rsidR="00D41177" w:rsidRPr="000109B6">
        <w:rPr>
          <w:rFonts w:ascii="Times New Roman" w:hAnsi="Times New Roman"/>
          <w:sz w:val="24"/>
          <w:szCs w:val="24"/>
        </w:rPr>
        <w:t xml:space="preserve"> (DLI), </w:t>
      </w:r>
      <w:r w:rsidR="006437D7" w:rsidRPr="000109B6">
        <w:rPr>
          <w:rFonts w:ascii="Times New Roman" w:hAnsi="Times New Roman"/>
          <w:i/>
          <w:sz w:val="24"/>
          <w:szCs w:val="24"/>
        </w:rPr>
        <w:t>Allogenic</w:t>
      </w:r>
      <w:r w:rsidR="006437D7" w:rsidRPr="000109B6">
        <w:rPr>
          <w:rFonts w:ascii="Times New Roman" w:hAnsi="Times New Roman"/>
          <w:sz w:val="24"/>
          <w:szCs w:val="24"/>
        </w:rPr>
        <w:t xml:space="preserve"> </w:t>
      </w:r>
      <w:r w:rsidR="006437D7" w:rsidRPr="000109B6">
        <w:rPr>
          <w:rFonts w:ascii="Times New Roman" w:hAnsi="Times New Roman"/>
          <w:i/>
          <w:sz w:val="24"/>
          <w:szCs w:val="24"/>
        </w:rPr>
        <w:t xml:space="preserve">Stem Cell Transplantation, </w:t>
      </w:r>
      <w:r w:rsidR="006437D7" w:rsidRPr="000109B6">
        <w:rPr>
          <w:rFonts w:ascii="Times New Roman" w:hAnsi="Times New Roman"/>
          <w:sz w:val="24"/>
          <w:szCs w:val="24"/>
        </w:rPr>
        <w:t>dan</w:t>
      </w:r>
      <w:r w:rsidR="006437D7" w:rsidRPr="000109B6">
        <w:rPr>
          <w:rFonts w:ascii="Times New Roman" w:hAnsi="Times New Roman"/>
          <w:i/>
          <w:sz w:val="24"/>
          <w:szCs w:val="24"/>
        </w:rPr>
        <w:t xml:space="preserve"> Autologous Stem Cell Transplantation</w:t>
      </w:r>
    </w:p>
    <w:p w:rsidR="006437D7" w:rsidRPr="000109B6" w:rsidRDefault="006437D7" w:rsidP="00296382">
      <w:pPr>
        <w:tabs>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20"/>
        <w:jc w:val="both"/>
        <w:rPr>
          <w:rFonts w:ascii="Times New Roman" w:hAnsi="Times New Roman"/>
          <w:color w:val="000000"/>
          <w:sz w:val="24"/>
          <w:szCs w:val="24"/>
          <w:lang w:val="id-ID"/>
        </w:rPr>
      </w:pPr>
      <w:r w:rsidRPr="000109B6">
        <w:rPr>
          <w:rFonts w:ascii="Times New Roman" w:hAnsi="Times New Roman"/>
          <w:color w:val="000000"/>
          <w:sz w:val="24"/>
          <w:szCs w:val="24"/>
          <w:lang w:val="en"/>
        </w:rPr>
        <w:t xml:space="preserve">Setelah mendapat pengobatan pasien </w:t>
      </w:r>
      <w:r w:rsidRPr="000109B6">
        <w:rPr>
          <w:rFonts w:ascii="Times New Roman" w:hAnsi="Times New Roman"/>
          <w:color w:val="000000"/>
          <w:sz w:val="24"/>
          <w:szCs w:val="24"/>
          <w:lang w:val="id-ID"/>
        </w:rPr>
        <w:t>cenderung</w:t>
      </w:r>
      <w:r w:rsidRPr="000109B6">
        <w:rPr>
          <w:rFonts w:ascii="Times New Roman" w:hAnsi="Times New Roman"/>
          <w:color w:val="000000"/>
          <w:sz w:val="24"/>
          <w:szCs w:val="24"/>
          <w:lang w:val="en"/>
        </w:rPr>
        <w:t xml:space="preserve"> lebih </w:t>
      </w:r>
      <w:r w:rsidRPr="000109B6">
        <w:rPr>
          <w:rFonts w:ascii="Times New Roman" w:hAnsi="Times New Roman"/>
          <w:color w:val="000000"/>
          <w:sz w:val="24"/>
          <w:szCs w:val="24"/>
          <w:lang w:val="id-ID"/>
        </w:rPr>
        <w:t>mampu</w:t>
      </w:r>
      <w:r w:rsidRPr="000109B6">
        <w:rPr>
          <w:rFonts w:ascii="Times New Roman" w:hAnsi="Times New Roman"/>
          <w:color w:val="000000"/>
          <w:sz w:val="24"/>
          <w:szCs w:val="24"/>
          <w:lang w:val="en"/>
        </w:rPr>
        <w:t xml:space="preserve"> beradaptasi </w:t>
      </w:r>
      <w:r w:rsidRPr="000109B6">
        <w:rPr>
          <w:rFonts w:ascii="Times New Roman" w:hAnsi="Times New Roman"/>
          <w:color w:val="000000"/>
          <w:sz w:val="24"/>
          <w:szCs w:val="24"/>
          <w:lang w:val="id-ID"/>
        </w:rPr>
        <w:t>dengan</w:t>
      </w:r>
      <w:r w:rsidRPr="000109B6">
        <w:rPr>
          <w:rFonts w:ascii="Times New Roman" w:hAnsi="Times New Roman"/>
          <w:color w:val="000000"/>
          <w:sz w:val="24"/>
          <w:szCs w:val="24"/>
          <w:lang w:val="en"/>
        </w:rPr>
        <w:t xml:space="preserve"> penyakitnya dan </w:t>
      </w:r>
      <w:r w:rsidRPr="000109B6">
        <w:rPr>
          <w:rFonts w:ascii="Times New Roman" w:hAnsi="Times New Roman"/>
          <w:color w:val="000000"/>
          <w:sz w:val="24"/>
          <w:szCs w:val="24"/>
          <w:lang w:val="id-ID"/>
        </w:rPr>
        <w:t>prognos</w:t>
      </w:r>
      <w:r w:rsidR="004321ED" w:rsidRPr="000109B6">
        <w:rPr>
          <w:rFonts w:ascii="Times New Roman" w:hAnsi="Times New Roman"/>
          <w:color w:val="000000"/>
          <w:sz w:val="24"/>
          <w:szCs w:val="24"/>
          <w:lang w:val="id-ID"/>
        </w:rPr>
        <w:t xml:space="preserve">is ke depannya </w:t>
      </w:r>
      <w:proofErr w:type="gramStart"/>
      <w:r w:rsidR="004321ED" w:rsidRPr="000109B6">
        <w:rPr>
          <w:rFonts w:ascii="Times New Roman" w:hAnsi="Times New Roman"/>
          <w:color w:val="000000"/>
          <w:sz w:val="24"/>
          <w:szCs w:val="24"/>
          <w:lang w:val="id-ID"/>
        </w:rPr>
        <w:t>akan</w:t>
      </w:r>
      <w:proofErr w:type="gramEnd"/>
      <w:r w:rsidR="004321ED" w:rsidRPr="000109B6">
        <w:rPr>
          <w:rFonts w:ascii="Times New Roman" w:hAnsi="Times New Roman"/>
          <w:color w:val="000000"/>
          <w:sz w:val="24"/>
          <w:szCs w:val="24"/>
          <w:lang w:val="id-ID"/>
        </w:rPr>
        <w:t xml:space="preserve"> lebih baik.</w:t>
      </w:r>
      <w:r w:rsidR="004321ED" w:rsidRPr="000109B6">
        <w:rPr>
          <w:rFonts w:ascii="Times New Roman" w:hAnsi="Times New Roman"/>
          <w:color w:val="000000"/>
          <w:sz w:val="24"/>
          <w:szCs w:val="24"/>
          <w:vertAlign w:val="superscript"/>
          <w:lang w:val="id-ID"/>
        </w:rPr>
        <w:t>4</w:t>
      </w:r>
    </w:p>
    <w:p w:rsidR="006437D7" w:rsidRPr="000109B6" w:rsidRDefault="006437D7" w:rsidP="00296382">
      <w:pPr>
        <w:spacing w:after="0" w:line="360" w:lineRule="auto"/>
        <w:ind w:firstLine="720"/>
        <w:jc w:val="both"/>
        <w:rPr>
          <w:rFonts w:ascii="Times New Roman" w:hAnsi="Times New Roman"/>
          <w:sz w:val="24"/>
          <w:szCs w:val="24"/>
        </w:rPr>
      </w:pPr>
      <w:r w:rsidRPr="000109B6">
        <w:rPr>
          <w:rFonts w:ascii="Times New Roman" w:hAnsi="Times New Roman"/>
          <w:color w:val="000000"/>
          <w:sz w:val="24"/>
          <w:szCs w:val="24"/>
        </w:rPr>
        <w:t>I</w:t>
      </w:r>
      <w:r w:rsidRPr="000109B6">
        <w:rPr>
          <w:rFonts w:ascii="Times New Roman" w:hAnsi="Times New Roman"/>
          <w:color w:val="000000"/>
          <w:sz w:val="24"/>
          <w:szCs w:val="24"/>
          <w:lang w:val="id-ID"/>
        </w:rPr>
        <w:t xml:space="preserve">nsiden </w:t>
      </w:r>
      <w:r w:rsidRPr="000109B6">
        <w:rPr>
          <w:rFonts w:ascii="Times New Roman" w:hAnsi="Times New Roman"/>
          <w:color w:val="000000"/>
          <w:sz w:val="24"/>
          <w:szCs w:val="24"/>
        </w:rPr>
        <w:t xml:space="preserve">LMK </w:t>
      </w:r>
      <w:r w:rsidRPr="000109B6">
        <w:rPr>
          <w:rFonts w:ascii="Times New Roman" w:hAnsi="Times New Roman"/>
          <w:color w:val="000000"/>
          <w:sz w:val="24"/>
          <w:szCs w:val="24"/>
          <w:lang w:val="id-ID"/>
        </w:rPr>
        <w:t xml:space="preserve">cukup banyak </w:t>
      </w:r>
      <w:r w:rsidRPr="000109B6">
        <w:rPr>
          <w:rFonts w:ascii="Times New Roman" w:hAnsi="Times New Roman"/>
          <w:color w:val="000000"/>
          <w:sz w:val="24"/>
          <w:szCs w:val="24"/>
        </w:rPr>
        <w:t xml:space="preserve">terjadi </w:t>
      </w:r>
      <w:r w:rsidRPr="000109B6">
        <w:rPr>
          <w:rFonts w:ascii="Times New Roman" w:hAnsi="Times New Roman"/>
          <w:color w:val="000000"/>
          <w:sz w:val="24"/>
          <w:szCs w:val="24"/>
          <w:lang w:val="id-ID"/>
        </w:rPr>
        <w:t xml:space="preserve">di RSUP Sanglah, dengan imatinib sebagai obat </w:t>
      </w:r>
      <w:r w:rsidR="00AA3426" w:rsidRPr="000109B6">
        <w:rPr>
          <w:rFonts w:ascii="Times New Roman" w:hAnsi="Times New Roman"/>
          <w:color w:val="000000"/>
          <w:sz w:val="24"/>
          <w:szCs w:val="24"/>
        </w:rPr>
        <w:t xml:space="preserve">pilihan </w:t>
      </w:r>
      <w:r w:rsidRPr="000109B6">
        <w:rPr>
          <w:rFonts w:ascii="Times New Roman" w:hAnsi="Times New Roman"/>
          <w:color w:val="000000"/>
          <w:sz w:val="24"/>
          <w:szCs w:val="24"/>
          <w:lang w:val="id-ID"/>
        </w:rPr>
        <w:t xml:space="preserve">utama. </w:t>
      </w:r>
      <w:r w:rsidRPr="000109B6">
        <w:rPr>
          <w:rFonts w:ascii="Times New Roman" w:hAnsi="Times New Roman"/>
          <w:sz w:val="24"/>
          <w:szCs w:val="24"/>
        </w:rPr>
        <w:t>Maka dari itu peneliti</w:t>
      </w:r>
      <w:r w:rsidRPr="000109B6">
        <w:rPr>
          <w:rFonts w:ascii="Times New Roman" w:hAnsi="Times New Roman"/>
          <w:sz w:val="24"/>
          <w:szCs w:val="24"/>
          <w:lang w:val="id-ID"/>
        </w:rPr>
        <w:t xml:space="preserve"> </w:t>
      </w:r>
      <w:proofErr w:type="gramStart"/>
      <w:r w:rsidRPr="000109B6">
        <w:rPr>
          <w:rFonts w:ascii="Times New Roman" w:hAnsi="Times New Roman"/>
          <w:sz w:val="24"/>
          <w:szCs w:val="24"/>
          <w:lang w:val="id-ID"/>
        </w:rPr>
        <w:t>akan</w:t>
      </w:r>
      <w:proofErr w:type="gramEnd"/>
      <w:r w:rsidRPr="000109B6">
        <w:rPr>
          <w:rFonts w:ascii="Times New Roman" w:hAnsi="Times New Roman"/>
          <w:sz w:val="24"/>
          <w:szCs w:val="24"/>
          <w:lang w:val="id-ID"/>
        </w:rPr>
        <w:t xml:space="preserve"> membahas </w:t>
      </w:r>
      <w:r w:rsidRPr="000109B6">
        <w:rPr>
          <w:rFonts w:ascii="Times New Roman" w:hAnsi="Times New Roman"/>
          <w:sz w:val="24"/>
          <w:szCs w:val="24"/>
        </w:rPr>
        <w:t>karakteristik pasien LMK di RSUP Sanglah Denpasar tahun 2014-2015</w:t>
      </w:r>
      <w:r w:rsidRPr="000109B6">
        <w:rPr>
          <w:rFonts w:ascii="Times New Roman" w:hAnsi="Times New Roman"/>
          <w:sz w:val="24"/>
          <w:szCs w:val="24"/>
          <w:lang w:val="id-ID"/>
        </w:rPr>
        <w:t>.</w:t>
      </w:r>
    </w:p>
    <w:p w:rsidR="00333BCE" w:rsidRPr="00403F61" w:rsidRDefault="0082460A" w:rsidP="00296382">
      <w:pPr>
        <w:spacing w:before="240" w:after="0" w:line="360" w:lineRule="auto"/>
        <w:rPr>
          <w:rFonts w:ascii="Times New Roman" w:eastAsia="Times New Roman" w:hAnsi="Times New Roman"/>
          <w:b/>
          <w:sz w:val="24"/>
          <w:szCs w:val="24"/>
          <w:lang w:eastAsia="id-ID"/>
        </w:rPr>
      </w:pPr>
      <w:r w:rsidRPr="00403F61">
        <w:rPr>
          <w:rFonts w:ascii="Times New Roman" w:eastAsia="Times New Roman" w:hAnsi="Times New Roman"/>
          <w:b/>
          <w:sz w:val="24"/>
          <w:szCs w:val="24"/>
          <w:lang w:eastAsia="id-ID"/>
        </w:rPr>
        <w:t>METODE</w:t>
      </w:r>
    </w:p>
    <w:p w:rsidR="003E1D6E" w:rsidRPr="00845FDF" w:rsidRDefault="0082460A" w:rsidP="00845FDF">
      <w:pPr>
        <w:spacing w:line="360" w:lineRule="auto"/>
        <w:jc w:val="both"/>
        <w:rPr>
          <w:rFonts w:ascii="Times New Roman" w:eastAsia="Times New Roman" w:hAnsi="Times New Roman"/>
          <w:sz w:val="24"/>
          <w:szCs w:val="24"/>
          <w:lang w:eastAsia="id-ID"/>
        </w:rPr>
      </w:pPr>
      <w:r w:rsidRPr="000109B6">
        <w:rPr>
          <w:rFonts w:ascii="Times New Roman" w:eastAsia="Times New Roman" w:hAnsi="Times New Roman"/>
          <w:sz w:val="24"/>
          <w:szCs w:val="24"/>
          <w:lang w:eastAsia="id-ID"/>
        </w:rPr>
        <w:tab/>
      </w:r>
      <w:r w:rsidR="009C5EE2" w:rsidRPr="000109B6">
        <w:rPr>
          <w:rFonts w:ascii="Times New Roman" w:eastAsia="Times New Roman" w:hAnsi="Times New Roman"/>
          <w:sz w:val="24"/>
          <w:szCs w:val="24"/>
          <w:lang w:eastAsia="id-ID"/>
        </w:rPr>
        <w:t xml:space="preserve">Penelitian ini menggunakan metode deskriptif retrospektif. </w:t>
      </w:r>
      <w:r w:rsidR="007B2916" w:rsidRPr="000109B6">
        <w:rPr>
          <w:rFonts w:ascii="Times New Roman" w:eastAsia="Times New Roman" w:hAnsi="Times New Roman"/>
          <w:sz w:val="24"/>
          <w:szCs w:val="24"/>
          <w:lang w:eastAsia="id-ID"/>
        </w:rPr>
        <w:t>Bertempat</w:t>
      </w:r>
      <w:r w:rsidR="009C5EE2" w:rsidRPr="000109B6">
        <w:rPr>
          <w:rFonts w:ascii="Times New Roman" w:eastAsia="Times New Roman" w:hAnsi="Times New Roman"/>
          <w:sz w:val="24"/>
          <w:szCs w:val="24"/>
          <w:lang w:eastAsia="id-ID"/>
        </w:rPr>
        <w:t xml:space="preserve"> di Rumah Sakit Umum Pusat Sanglah Denpasar pada bulan Januari sampai Juli 2015</w:t>
      </w:r>
      <w:proofErr w:type="gramStart"/>
      <w:r w:rsidR="007B2916" w:rsidRPr="000109B6">
        <w:rPr>
          <w:rFonts w:ascii="Times New Roman" w:eastAsia="Times New Roman" w:hAnsi="Times New Roman"/>
          <w:sz w:val="24"/>
          <w:szCs w:val="24"/>
          <w:lang w:eastAsia="id-ID"/>
        </w:rPr>
        <w:t>..</w:t>
      </w:r>
      <w:proofErr w:type="gramEnd"/>
      <w:r w:rsidR="007B2916" w:rsidRPr="000109B6">
        <w:rPr>
          <w:rFonts w:ascii="Times New Roman" w:eastAsia="Times New Roman" w:hAnsi="Times New Roman"/>
          <w:sz w:val="24"/>
          <w:szCs w:val="24"/>
          <w:lang w:eastAsia="id-ID"/>
        </w:rPr>
        <w:t xml:space="preserve"> </w:t>
      </w:r>
      <w:r w:rsidR="00636F2C" w:rsidRPr="000109B6">
        <w:rPr>
          <w:rFonts w:ascii="Times New Roman" w:eastAsia="Times New Roman" w:hAnsi="Times New Roman"/>
          <w:sz w:val="24"/>
          <w:szCs w:val="24"/>
          <w:lang w:eastAsia="id-ID"/>
        </w:rPr>
        <w:t xml:space="preserve">Instrumen penelitian menggunakan data sekunder dari rekam medis di Instalasi Rekam Medis RSUP Sanglah. </w:t>
      </w:r>
      <w:r w:rsidR="007B2916" w:rsidRPr="000109B6">
        <w:rPr>
          <w:rFonts w:ascii="Times New Roman" w:eastAsia="Times New Roman" w:hAnsi="Times New Roman"/>
          <w:sz w:val="24"/>
          <w:szCs w:val="24"/>
          <w:lang w:eastAsia="id-ID"/>
        </w:rPr>
        <w:t xml:space="preserve">Sampel yang diikutkan sebanyak 41 orang </w:t>
      </w:r>
      <w:r w:rsidR="009C5EE2" w:rsidRPr="000109B6">
        <w:rPr>
          <w:rFonts w:ascii="Times New Roman" w:eastAsia="Times New Roman" w:hAnsi="Times New Roman"/>
          <w:sz w:val="24"/>
          <w:szCs w:val="24"/>
          <w:lang w:eastAsia="id-ID"/>
        </w:rPr>
        <w:t>yang sudah terdiagnosis</w:t>
      </w:r>
      <w:r w:rsidR="00636F2C" w:rsidRPr="000109B6">
        <w:rPr>
          <w:rFonts w:ascii="Times New Roman" w:eastAsia="Times New Roman" w:hAnsi="Times New Roman"/>
          <w:sz w:val="24"/>
          <w:szCs w:val="24"/>
          <w:lang w:eastAsia="id-ID"/>
        </w:rPr>
        <w:t xml:space="preserve"> LMK dan tercatat di rekam medis pasien RSUP Sanglah Denpasar dari tahun 2014-2015. </w:t>
      </w:r>
    </w:p>
    <w:p w:rsidR="003E1D6E" w:rsidRDefault="003E1D6E" w:rsidP="003E1D6E">
      <w:pPr>
        <w:rPr>
          <w:rFonts w:ascii="Times New Roman" w:eastAsiaTheme="minorHAnsi" w:hAnsi="Times New Roman"/>
          <w:b/>
          <w:color w:val="FF0000"/>
          <w:sz w:val="24"/>
          <w:szCs w:val="24"/>
        </w:rPr>
      </w:pPr>
      <w:r>
        <w:rPr>
          <w:rFonts w:ascii="Times New Roman" w:hAnsi="Times New Roman"/>
          <w:b/>
          <w:sz w:val="24"/>
          <w:szCs w:val="24"/>
        </w:rPr>
        <w:t>HASIL</w:t>
      </w:r>
      <w:r>
        <w:rPr>
          <w:rFonts w:ascii="Times New Roman" w:hAnsi="Times New Roman"/>
          <w:b/>
          <w:color w:val="FF0000"/>
          <w:sz w:val="24"/>
          <w:szCs w:val="24"/>
        </w:rPr>
        <w:t xml:space="preserve"> </w:t>
      </w:r>
    </w:p>
    <w:p w:rsidR="003E1D6E" w:rsidRPr="008911DC" w:rsidRDefault="003E1D6E" w:rsidP="003E1D6E">
      <w:pPr>
        <w:spacing w:line="360" w:lineRule="auto"/>
        <w:ind w:firstLine="720"/>
        <w:jc w:val="both"/>
        <w:rPr>
          <w:rFonts w:ascii="Times New Roman" w:hAnsi="Times New Roman"/>
        </w:rPr>
      </w:pPr>
      <w:r w:rsidRPr="008911DC">
        <w:rPr>
          <w:rFonts w:ascii="Times New Roman" w:hAnsi="Times New Roman"/>
          <w:sz w:val="24"/>
          <w:szCs w:val="24"/>
        </w:rPr>
        <w:t xml:space="preserve">Dari waktu yang sudah ditentukan, peneliti mendapatkan 45 pasien LMK di Rumah Sakit Umum </w:t>
      </w:r>
      <w:r w:rsidRPr="008911DC">
        <w:rPr>
          <w:rFonts w:ascii="Times New Roman" w:hAnsi="Times New Roman"/>
          <w:sz w:val="24"/>
          <w:szCs w:val="24"/>
        </w:rPr>
        <w:lastRenderedPageBreak/>
        <w:t xml:space="preserve">Pusat Sanglah, Denpasar. </w:t>
      </w:r>
      <w:proofErr w:type="gramStart"/>
      <w:r w:rsidRPr="008911DC">
        <w:rPr>
          <w:rFonts w:ascii="Times New Roman" w:hAnsi="Times New Roman"/>
          <w:sz w:val="24"/>
          <w:szCs w:val="24"/>
        </w:rPr>
        <w:t>Sebanyak  41</w:t>
      </w:r>
      <w:proofErr w:type="gramEnd"/>
      <w:r w:rsidRPr="008911DC">
        <w:rPr>
          <w:rFonts w:ascii="Times New Roman" w:hAnsi="Times New Roman"/>
          <w:sz w:val="24"/>
          <w:szCs w:val="24"/>
        </w:rPr>
        <w:t xml:space="preserve"> sampel dijadikan sebagai sampel penelitian dan  4 orang diantaranya dieksklusi karena dinyatakan meninggal pada rekam medis.</w:t>
      </w:r>
    </w:p>
    <w:p w:rsidR="003E1D6E" w:rsidRPr="008911DC" w:rsidRDefault="003E1D6E" w:rsidP="003E1D6E">
      <w:pPr>
        <w:spacing w:after="0" w:line="360" w:lineRule="auto"/>
        <w:jc w:val="center"/>
        <w:rPr>
          <w:rFonts w:ascii="Times New Roman" w:hAnsi="Times New Roman"/>
          <w:b/>
          <w:sz w:val="24"/>
          <w:szCs w:val="24"/>
        </w:rPr>
      </w:pPr>
      <w:r w:rsidRPr="008911DC">
        <w:rPr>
          <w:rFonts w:ascii="Times New Roman" w:hAnsi="Times New Roman"/>
          <w:b/>
          <w:sz w:val="24"/>
          <w:szCs w:val="24"/>
        </w:rPr>
        <w:t>Tabel 1</w:t>
      </w:r>
      <w:r w:rsidR="008911DC">
        <w:rPr>
          <w:rFonts w:ascii="Times New Roman" w:hAnsi="Times New Roman"/>
          <w:b/>
          <w:sz w:val="24"/>
          <w:szCs w:val="24"/>
        </w:rPr>
        <w:t>.</w:t>
      </w:r>
      <w:r w:rsidRPr="008911DC">
        <w:rPr>
          <w:rFonts w:ascii="Times New Roman" w:hAnsi="Times New Roman"/>
          <w:b/>
          <w:sz w:val="24"/>
          <w:szCs w:val="24"/>
        </w:rPr>
        <w:t xml:space="preserve"> </w:t>
      </w:r>
      <w:r w:rsidRPr="008911DC">
        <w:rPr>
          <w:rFonts w:ascii="Times New Roman" w:hAnsi="Times New Roman"/>
          <w:sz w:val="24"/>
          <w:szCs w:val="24"/>
        </w:rPr>
        <w:t>Karakteristik Dasar Penderita LMK</w:t>
      </w:r>
    </w:p>
    <w:tbl>
      <w:tblPr>
        <w:tblW w:w="0" w:type="auto"/>
        <w:jc w:val="center"/>
        <w:tblLayout w:type="fixed"/>
        <w:tblLook w:val="04A0" w:firstRow="1" w:lastRow="0" w:firstColumn="1" w:lastColumn="0" w:noHBand="0" w:noVBand="1"/>
      </w:tblPr>
      <w:tblGrid>
        <w:gridCol w:w="2430"/>
        <w:gridCol w:w="1462"/>
      </w:tblGrid>
      <w:tr w:rsidR="008911DC" w:rsidRPr="008911DC" w:rsidTr="008911DC">
        <w:trPr>
          <w:jc w:val="center"/>
        </w:trPr>
        <w:tc>
          <w:tcPr>
            <w:tcW w:w="2430" w:type="dxa"/>
            <w:tcBorders>
              <w:top w:val="single" w:sz="12" w:space="0" w:color="auto"/>
              <w:left w:val="nil"/>
              <w:bottom w:val="single" w:sz="4" w:space="0" w:color="auto"/>
              <w:right w:val="nil"/>
            </w:tcBorders>
            <w:hideMark/>
          </w:tcPr>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Karakteristik penderita</w:t>
            </w:r>
          </w:p>
        </w:tc>
        <w:tc>
          <w:tcPr>
            <w:tcW w:w="1462" w:type="dxa"/>
            <w:tcBorders>
              <w:top w:val="single" w:sz="12" w:space="0" w:color="auto"/>
              <w:left w:val="nil"/>
              <w:bottom w:val="single" w:sz="4" w:space="0" w:color="auto"/>
              <w:right w:val="nil"/>
            </w:tcBorders>
            <w:hideMark/>
          </w:tcPr>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Kasus</w:t>
            </w:r>
          </w:p>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n=41</w:t>
            </w:r>
          </w:p>
        </w:tc>
      </w:tr>
      <w:tr w:rsidR="008911DC" w:rsidRPr="008911DC" w:rsidTr="008911DC">
        <w:trPr>
          <w:jc w:val="center"/>
        </w:trPr>
        <w:tc>
          <w:tcPr>
            <w:tcW w:w="2430" w:type="dxa"/>
            <w:tcBorders>
              <w:top w:val="single" w:sz="4" w:space="0" w:color="auto"/>
              <w:left w:val="nil"/>
              <w:bottom w:val="nil"/>
              <w:right w:val="nil"/>
            </w:tcBorders>
            <w:hideMark/>
          </w:tcPr>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Jenis kelamin</w:t>
            </w:r>
          </w:p>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Lelaki</w:t>
            </w:r>
          </w:p>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Perempuan</w:t>
            </w:r>
          </w:p>
        </w:tc>
        <w:tc>
          <w:tcPr>
            <w:tcW w:w="1462" w:type="dxa"/>
            <w:tcBorders>
              <w:top w:val="single" w:sz="4" w:space="0" w:color="auto"/>
              <w:left w:val="nil"/>
              <w:bottom w:val="nil"/>
              <w:right w:val="nil"/>
            </w:tcBorders>
          </w:tcPr>
          <w:p w:rsidR="003E1D6E" w:rsidRPr="008911DC" w:rsidRDefault="003E1D6E">
            <w:pPr>
              <w:spacing w:after="0" w:line="360" w:lineRule="auto"/>
              <w:rPr>
                <w:rFonts w:ascii="Times New Roman" w:hAnsi="Times New Roman"/>
                <w:sz w:val="24"/>
                <w:szCs w:val="24"/>
              </w:rPr>
            </w:pPr>
          </w:p>
          <w:p w:rsidR="003E1D6E" w:rsidRPr="008911DC" w:rsidRDefault="003E1D6E">
            <w:pPr>
              <w:spacing w:after="0" w:line="360" w:lineRule="auto"/>
              <w:rPr>
                <w:rFonts w:ascii="Times New Roman" w:hAnsi="Times New Roman"/>
                <w:sz w:val="24"/>
                <w:szCs w:val="24"/>
              </w:rPr>
            </w:pPr>
            <w:r w:rsidRPr="008911DC">
              <w:rPr>
                <w:rFonts w:ascii="Times New Roman" w:hAnsi="Times New Roman"/>
                <w:sz w:val="24"/>
                <w:szCs w:val="24"/>
              </w:rPr>
              <w:t>27 (65.9%)</w:t>
            </w:r>
          </w:p>
          <w:p w:rsidR="003E1D6E" w:rsidRPr="008911DC" w:rsidRDefault="003E1D6E">
            <w:pPr>
              <w:spacing w:after="0" w:line="360" w:lineRule="auto"/>
              <w:rPr>
                <w:rFonts w:ascii="Times New Roman" w:hAnsi="Times New Roman"/>
                <w:sz w:val="24"/>
                <w:szCs w:val="24"/>
              </w:rPr>
            </w:pPr>
            <w:r w:rsidRPr="008911DC">
              <w:rPr>
                <w:rFonts w:ascii="Times New Roman" w:hAnsi="Times New Roman"/>
                <w:sz w:val="24"/>
                <w:szCs w:val="24"/>
              </w:rPr>
              <w:t>14 (34.1%)</w:t>
            </w:r>
          </w:p>
        </w:tc>
      </w:tr>
      <w:tr w:rsidR="008911DC" w:rsidRPr="008911DC" w:rsidTr="008911DC">
        <w:trPr>
          <w:jc w:val="center"/>
        </w:trPr>
        <w:tc>
          <w:tcPr>
            <w:tcW w:w="2430" w:type="dxa"/>
            <w:hideMark/>
          </w:tcPr>
          <w:p w:rsidR="003E1D6E" w:rsidRPr="008911DC" w:rsidRDefault="003E1D6E">
            <w:pPr>
              <w:spacing w:after="0" w:line="360" w:lineRule="auto"/>
              <w:rPr>
                <w:rFonts w:ascii="Times New Roman" w:eastAsia="Times New Roman" w:hAnsi="Times New Roman"/>
                <w:bCs/>
                <w:sz w:val="24"/>
                <w:szCs w:val="24"/>
              </w:rPr>
            </w:pPr>
            <w:r w:rsidRPr="008911DC">
              <w:rPr>
                <w:rFonts w:ascii="Times New Roman" w:hAnsi="Times New Roman"/>
                <w:bCs/>
                <w:sz w:val="24"/>
                <w:szCs w:val="24"/>
              </w:rPr>
              <w:t>Umur (tahun) mean</w:t>
            </w:r>
            <m:oMath>
              <m:r>
                <w:rPr>
                  <w:rFonts w:ascii="Cambria Math" w:hAnsi="Cambria Math"/>
                  <w:sz w:val="24"/>
                  <w:szCs w:val="24"/>
                </w:rPr>
                <m:t>±</m:t>
              </m:r>
            </m:oMath>
            <w:r w:rsidRPr="008911DC">
              <w:rPr>
                <w:rFonts w:ascii="Times New Roman" w:eastAsia="Times New Roman" w:hAnsi="Times New Roman"/>
                <w:bCs/>
                <w:sz w:val="24"/>
                <w:szCs w:val="24"/>
              </w:rPr>
              <w:t>SD</w:t>
            </w:r>
          </w:p>
          <w:p w:rsidR="003E1D6E" w:rsidRPr="008911DC" w:rsidRDefault="003E1D6E">
            <w:pPr>
              <w:spacing w:after="0" w:line="360" w:lineRule="auto"/>
              <w:rPr>
                <w:rFonts w:ascii="Times New Roman" w:eastAsiaTheme="minorHAnsi" w:hAnsi="Times New Roman"/>
                <w:bCs/>
                <w:sz w:val="24"/>
                <w:szCs w:val="24"/>
              </w:rPr>
            </w:pPr>
            <w:r w:rsidRPr="008911DC">
              <w:rPr>
                <w:rFonts w:ascii="Times New Roman" w:eastAsia="Times New Roman" w:hAnsi="Times New Roman"/>
                <w:bCs/>
                <w:sz w:val="24"/>
                <w:szCs w:val="24"/>
              </w:rPr>
              <w:t>Rentang umur</w:t>
            </w:r>
          </w:p>
        </w:tc>
        <w:tc>
          <w:tcPr>
            <w:tcW w:w="1462" w:type="dxa"/>
            <w:hideMark/>
          </w:tcPr>
          <w:p w:rsidR="003E1D6E" w:rsidRPr="008911DC" w:rsidRDefault="003E1D6E">
            <w:pPr>
              <w:spacing w:after="0" w:line="360" w:lineRule="auto"/>
              <w:rPr>
                <w:rFonts w:ascii="Times New Roman" w:hAnsi="Times New Roman"/>
                <w:sz w:val="24"/>
                <w:szCs w:val="24"/>
              </w:rPr>
            </w:pPr>
            <w:r w:rsidRPr="008911DC">
              <w:rPr>
                <w:rFonts w:ascii="Times New Roman" w:hAnsi="Times New Roman"/>
                <w:sz w:val="24"/>
                <w:szCs w:val="24"/>
              </w:rPr>
              <w:t>38.22±14.09</w:t>
            </w:r>
          </w:p>
          <w:p w:rsidR="008911DC" w:rsidRDefault="008911DC">
            <w:pPr>
              <w:spacing w:after="0" w:line="360" w:lineRule="auto"/>
              <w:rPr>
                <w:rFonts w:ascii="Times New Roman" w:hAnsi="Times New Roman"/>
                <w:sz w:val="24"/>
                <w:szCs w:val="24"/>
              </w:rPr>
            </w:pPr>
          </w:p>
          <w:p w:rsidR="003E1D6E" w:rsidRPr="008911DC" w:rsidRDefault="003E1D6E">
            <w:pPr>
              <w:spacing w:after="0" w:line="360" w:lineRule="auto"/>
              <w:rPr>
                <w:rFonts w:ascii="Times New Roman" w:hAnsi="Times New Roman"/>
                <w:sz w:val="24"/>
                <w:szCs w:val="24"/>
              </w:rPr>
            </w:pPr>
            <w:r w:rsidRPr="008911DC">
              <w:rPr>
                <w:rFonts w:ascii="Times New Roman" w:hAnsi="Times New Roman"/>
                <w:sz w:val="24"/>
                <w:szCs w:val="24"/>
              </w:rPr>
              <w:t>18-75</w:t>
            </w:r>
          </w:p>
        </w:tc>
      </w:tr>
      <w:tr w:rsidR="008911DC" w:rsidRPr="008911DC" w:rsidTr="008911DC">
        <w:trPr>
          <w:jc w:val="center"/>
        </w:trPr>
        <w:tc>
          <w:tcPr>
            <w:tcW w:w="2430" w:type="dxa"/>
            <w:tcBorders>
              <w:top w:val="nil"/>
              <w:left w:val="nil"/>
              <w:bottom w:val="single" w:sz="12" w:space="0" w:color="auto"/>
              <w:right w:val="nil"/>
            </w:tcBorders>
            <w:hideMark/>
          </w:tcPr>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Fase LMK</w:t>
            </w:r>
          </w:p>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Kronis</w:t>
            </w:r>
          </w:p>
          <w:p w:rsidR="003E1D6E" w:rsidRPr="008911DC" w:rsidRDefault="003E1D6E">
            <w:pPr>
              <w:spacing w:after="0" w:line="360" w:lineRule="auto"/>
              <w:rPr>
                <w:rFonts w:ascii="Times New Roman" w:hAnsi="Times New Roman"/>
                <w:bCs/>
                <w:sz w:val="24"/>
                <w:szCs w:val="24"/>
              </w:rPr>
            </w:pPr>
            <w:r w:rsidRPr="008911DC">
              <w:rPr>
                <w:rFonts w:ascii="Times New Roman" w:hAnsi="Times New Roman"/>
                <w:bCs/>
                <w:sz w:val="24"/>
                <w:szCs w:val="24"/>
              </w:rPr>
              <w:t>Akselerasi</w:t>
            </w:r>
          </w:p>
          <w:p w:rsidR="003E1D6E" w:rsidRPr="008911DC" w:rsidRDefault="003E1D6E">
            <w:pPr>
              <w:spacing w:after="0" w:line="360" w:lineRule="auto"/>
              <w:rPr>
                <w:rFonts w:ascii="Times New Roman" w:hAnsi="Times New Roman"/>
                <w:bCs/>
                <w:i/>
                <w:sz w:val="24"/>
                <w:szCs w:val="24"/>
              </w:rPr>
            </w:pPr>
            <w:r w:rsidRPr="008911DC">
              <w:rPr>
                <w:rFonts w:ascii="Times New Roman" w:hAnsi="Times New Roman"/>
                <w:bCs/>
                <w:i/>
                <w:sz w:val="24"/>
                <w:szCs w:val="24"/>
              </w:rPr>
              <w:t>Blast crisis</w:t>
            </w:r>
          </w:p>
        </w:tc>
        <w:tc>
          <w:tcPr>
            <w:tcW w:w="1462" w:type="dxa"/>
            <w:tcBorders>
              <w:top w:val="nil"/>
              <w:left w:val="nil"/>
              <w:bottom w:val="single" w:sz="12" w:space="0" w:color="auto"/>
              <w:right w:val="nil"/>
            </w:tcBorders>
          </w:tcPr>
          <w:p w:rsidR="003E1D6E" w:rsidRPr="008911DC" w:rsidRDefault="003E1D6E">
            <w:pPr>
              <w:spacing w:after="0" w:line="360" w:lineRule="auto"/>
              <w:rPr>
                <w:rFonts w:ascii="Times New Roman" w:hAnsi="Times New Roman"/>
                <w:sz w:val="24"/>
                <w:szCs w:val="24"/>
              </w:rPr>
            </w:pPr>
          </w:p>
          <w:p w:rsidR="003E1D6E" w:rsidRPr="008911DC" w:rsidRDefault="003E1D6E">
            <w:pPr>
              <w:spacing w:after="0" w:line="360" w:lineRule="auto"/>
              <w:rPr>
                <w:rFonts w:ascii="Times New Roman" w:hAnsi="Times New Roman"/>
                <w:sz w:val="24"/>
                <w:szCs w:val="24"/>
              </w:rPr>
            </w:pPr>
            <w:r w:rsidRPr="008911DC">
              <w:rPr>
                <w:rFonts w:ascii="Times New Roman" w:hAnsi="Times New Roman"/>
                <w:sz w:val="24"/>
                <w:szCs w:val="24"/>
              </w:rPr>
              <w:t>38 (92.7%)</w:t>
            </w:r>
          </w:p>
          <w:p w:rsidR="003E1D6E" w:rsidRPr="008911DC" w:rsidRDefault="003E1D6E">
            <w:pPr>
              <w:spacing w:after="0" w:line="360" w:lineRule="auto"/>
              <w:rPr>
                <w:rFonts w:ascii="Times New Roman" w:hAnsi="Times New Roman"/>
                <w:sz w:val="24"/>
                <w:szCs w:val="24"/>
              </w:rPr>
            </w:pPr>
            <w:r w:rsidRPr="008911DC">
              <w:rPr>
                <w:rFonts w:ascii="Times New Roman" w:hAnsi="Times New Roman"/>
                <w:sz w:val="24"/>
                <w:szCs w:val="24"/>
              </w:rPr>
              <w:t xml:space="preserve">3 (7.3%) </w:t>
            </w:r>
          </w:p>
          <w:p w:rsidR="003E1D6E" w:rsidRPr="008911DC" w:rsidRDefault="003E1D6E">
            <w:pPr>
              <w:spacing w:after="0" w:line="360" w:lineRule="auto"/>
              <w:rPr>
                <w:rFonts w:ascii="Times New Roman" w:hAnsi="Times New Roman"/>
                <w:sz w:val="24"/>
                <w:szCs w:val="24"/>
              </w:rPr>
            </w:pPr>
            <w:r w:rsidRPr="008911DC">
              <w:rPr>
                <w:rFonts w:ascii="Times New Roman" w:hAnsi="Times New Roman"/>
                <w:sz w:val="24"/>
                <w:szCs w:val="24"/>
              </w:rPr>
              <w:t>0 (0%)</w:t>
            </w:r>
          </w:p>
        </w:tc>
      </w:tr>
    </w:tbl>
    <w:p w:rsidR="003E1D6E" w:rsidRPr="008911DC" w:rsidRDefault="003E1D6E" w:rsidP="008911DC">
      <w:pPr>
        <w:pStyle w:val="ListParagraph"/>
        <w:spacing w:before="240" w:line="360" w:lineRule="auto"/>
        <w:ind w:left="0" w:firstLine="720"/>
        <w:jc w:val="both"/>
        <w:rPr>
          <w:rFonts w:ascii="Times New Roman" w:hAnsi="Times New Roman"/>
          <w:sz w:val="24"/>
          <w:szCs w:val="24"/>
        </w:rPr>
      </w:pPr>
      <w:r w:rsidRPr="008911DC">
        <w:rPr>
          <w:rFonts w:ascii="Times New Roman" w:eastAsia="Times New Roman" w:hAnsi="Times New Roman"/>
          <w:sz w:val="24"/>
          <w:szCs w:val="24"/>
        </w:rPr>
        <w:t xml:space="preserve">Berdasarkan tabel diatas diketahui penderita LMK dengan jenis kelamin lelaki lebih banyak daripada perempuan. </w:t>
      </w:r>
      <w:r w:rsidRPr="008911DC">
        <w:rPr>
          <w:rFonts w:ascii="Times New Roman" w:hAnsi="Times New Roman"/>
          <w:sz w:val="24"/>
          <w:szCs w:val="24"/>
        </w:rPr>
        <w:t>Pada penelitian ini didapatkan rerata umur sebesar 38</w:t>
      </w:r>
      <w:proofErr w:type="gramStart"/>
      <w:r w:rsidRPr="008911DC">
        <w:rPr>
          <w:rFonts w:ascii="Times New Roman" w:hAnsi="Times New Roman"/>
          <w:sz w:val="24"/>
          <w:szCs w:val="24"/>
        </w:rPr>
        <w:t>,22</w:t>
      </w:r>
      <w:proofErr w:type="gramEnd"/>
      <w:r w:rsidRPr="008911DC">
        <w:rPr>
          <w:rFonts w:ascii="Times New Roman" w:hAnsi="Times New Roman"/>
          <w:sz w:val="24"/>
          <w:szCs w:val="24"/>
        </w:rPr>
        <w:t>±14.09</w:t>
      </w:r>
      <w:r w:rsidRPr="008911DC">
        <w:rPr>
          <w:rFonts w:ascii="Times New Roman" w:eastAsia="Times New Roman" w:hAnsi="Times New Roman"/>
          <w:sz w:val="24"/>
          <w:szCs w:val="24"/>
        </w:rPr>
        <w:t xml:space="preserve"> tahun. U</w:t>
      </w:r>
      <w:r w:rsidRPr="008911DC">
        <w:rPr>
          <w:rFonts w:ascii="Times New Roman" w:hAnsi="Times New Roman"/>
          <w:sz w:val="24"/>
          <w:szCs w:val="24"/>
        </w:rPr>
        <w:t xml:space="preserve">mur sampel berada pada rentang angka 18-75 tahun. Terdapat 38 sampel (92.7%) berada pada fase kronis, sedangkan 3 sampel lainnya (7.3%) berada pada fase akselerasi. </w:t>
      </w:r>
    </w:p>
    <w:p w:rsidR="00171CA9" w:rsidRPr="008911DC" w:rsidRDefault="00171CA9" w:rsidP="00845FDF">
      <w:pPr>
        <w:pStyle w:val="ListParagraph"/>
        <w:spacing w:after="0" w:line="360" w:lineRule="auto"/>
        <w:ind w:left="0"/>
        <w:jc w:val="center"/>
        <w:rPr>
          <w:rFonts w:ascii="Times New Roman" w:hAnsi="Times New Roman"/>
          <w:b/>
          <w:sz w:val="24"/>
          <w:szCs w:val="24"/>
        </w:rPr>
      </w:pPr>
    </w:p>
    <w:p w:rsidR="00171CA9" w:rsidRPr="008911DC" w:rsidRDefault="00171CA9" w:rsidP="00845FDF">
      <w:pPr>
        <w:pStyle w:val="ListParagraph"/>
        <w:spacing w:after="0" w:line="360" w:lineRule="auto"/>
        <w:ind w:left="0"/>
        <w:jc w:val="center"/>
        <w:rPr>
          <w:rFonts w:ascii="Times New Roman" w:hAnsi="Times New Roman"/>
          <w:b/>
          <w:sz w:val="24"/>
          <w:szCs w:val="24"/>
        </w:rPr>
      </w:pPr>
    </w:p>
    <w:p w:rsidR="00171CA9" w:rsidRPr="008911DC" w:rsidRDefault="00171CA9" w:rsidP="00845FDF">
      <w:pPr>
        <w:pStyle w:val="ListParagraph"/>
        <w:spacing w:after="0" w:line="360" w:lineRule="auto"/>
        <w:ind w:left="0"/>
        <w:jc w:val="center"/>
        <w:rPr>
          <w:rFonts w:ascii="Times New Roman" w:hAnsi="Times New Roman"/>
          <w:b/>
          <w:sz w:val="24"/>
          <w:szCs w:val="24"/>
        </w:rPr>
      </w:pPr>
    </w:p>
    <w:p w:rsidR="00171CA9" w:rsidRPr="008911DC" w:rsidRDefault="00171CA9" w:rsidP="00845FDF">
      <w:pPr>
        <w:pStyle w:val="ListParagraph"/>
        <w:spacing w:after="0" w:line="360" w:lineRule="auto"/>
        <w:ind w:left="0"/>
        <w:jc w:val="center"/>
        <w:rPr>
          <w:rFonts w:ascii="Times New Roman" w:hAnsi="Times New Roman"/>
          <w:b/>
          <w:sz w:val="24"/>
          <w:szCs w:val="24"/>
        </w:rPr>
      </w:pPr>
    </w:p>
    <w:p w:rsidR="00171CA9" w:rsidRPr="008911DC" w:rsidRDefault="00171CA9" w:rsidP="00845FDF">
      <w:pPr>
        <w:pStyle w:val="ListParagraph"/>
        <w:spacing w:after="0" w:line="360" w:lineRule="auto"/>
        <w:ind w:left="0"/>
        <w:jc w:val="center"/>
        <w:rPr>
          <w:rFonts w:ascii="Times New Roman" w:hAnsi="Times New Roman"/>
          <w:b/>
          <w:sz w:val="24"/>
          <w:szCs w:val="24"/>
        </w:rPr>
      </w:pPr>
    </w:p>
    <w:p w:rsidR="003E1D6E" w:rsidRPr="008911DC" w:rsidRDefault="003E1D6E" w:rsidP="00845FDF">
      <w:pPr>
        <w:pStyle w:val="ListParagraph"/>
        <w:spacing w:after="0" w:line="360" w:lineRule="auto"/>
        <w:ind w:left="0"/>
        <w:jc w:val="center"/>
        <w:rPr>
          <w:rFonts w:ascii="Times New Roman" w:hAnsi="Times New Roman"/>
          <w:sz w:val="24"/>
          <w:szCs w:val="24"/>
        </w:rPr>
      </w:pPr>
      <w:r w:rsidRPr="008911DC">
        <w:rPr>
          <w:rFonts w:ascii="Times New Roman" w:hAnsi="Times New Roman"/>
          <w:b/>
          <w:sz w:val="24"/>
          <w:szCs w:val="24"/>
        </w:rPr>
        <w:t>Tabel 2</w:t>
      </w:r>
      <w:r w:rsidR="008911DC">
        <w:rPr>
          <w:rFonts w:ascii="Times New Roman" w:hAnsi="Times New Roman"/>
          <w:b/>
          <w:sz w:val="24"/>
          <w:szCs w:val="24"/>
        </w:rPr>
        <w:t>.</w:t>
      </w:r>
      <w:r w:rsidRPr="008911DC">
        <w:rPr>
          <w:rFonts w:ascii="Times New Roman" w:hAnsi="Times New Roman"/>
          <w:b/>
          <w:sz w:val="24"/>
          <w:szCs w:val="24"/>
        </w:rPr>
        <w:t xml:space="preserve"> </w:t>
      </w:r>
      <w:r w:rsidRPr="008911DC">
        <w:rPr>
          <w:rFonts w:ascii="Times New Roman" w:hAnsi="Times New Roman"/>
          <w:sz w:val="24"/>
          <w:szCs w:val="24"/>
        </w:rPr>
        <w:t>Manifestasi Klinis Penderita LMK</w:t>
      </w:r>
    </w:p>
    <w:tbl>
      <w:tblPr>
        <w:tblW w:w="0" w:type="auto"/>
        <w:jc w:val="center"/>
        <w:tblLook w:val="04A0" w:firstRow="1" w:lastRow="0" w:firstColumn="1" w:lastColumn="0" w:noHBand="0" w:noVBand="1"/>
      </w:tblPr>
      <w:tblGrid>
        <w:gridCol w:w="2484"/>
        <w:gridCol w:w="1624"/>
      </w:tblGrid>
      <w:tr w:rsidR="008911DC" w:rsidRPr="008911DC" w:rsidTr="003E1D6E">
        <w:trPr>
          <w:jc w:val="center"/>
        </w:trPr>
        <w:tc>
          <w:tcPr>
            <w:tcW w:w="2610" w:type="dxa"/>
            <w:tcBorders>
              <w:top w:val="single" w:sz="12" w:space="0" w:color="auto"/>
              <w:left w:val="nil"/>
              <w:bottom w:val="single" w:sz="4" w:space="0" w:color="auto"/>
              <w:right w:val="nil"/>
            </w:tcBorders>
            <w:hideMark/>
          </w:tcPr>
          <w:p w:rsidR="003E1D6E" w:rsidRPr="008911DC" w:rsidRDefault="003E1D6E" w:rsidP="00845FDF">
            <w:pPr>
              <w:tabs>
                <w:tab w:val="left" w:pos="2385"/>
              </w:tabs>
              <w:spacing w:after="0" w:line="360" w:lineRule="auto"/>
              <w:rPr>
                <w:rFonts w:ascii="Times New Roman" w:hAnsi="Times New Roman"/>
                <w:bCs/>
                <w:sz w:val="24"/>
                <w:szCs w:val="24"/>
              </w:rPr>
            </w:pPr>
            <w:r w:rsidRPr="008911DC">
              <w:rPr>
                <w:rFonts w:ascii="Times New Roman" w:hAnsi="Times New Roman"/>
                <w:bCs/>
                <w:sz w:val="24"/>
                <w:szCs w:val="24"/>
              </w:rPr>
              <w:t>Manifestasi klinis</w:t>
            </w:r>
            <w:r w:rsidRPr="008911DC">
              <w:rPr>
                <w:rFonts w:ascii="Times New Roman" w:hAnsi="Times New Roman"/>
                <w:bCs/>
                <w:sz w:val="24"/>
                <w:szCs w:val="24"/>
              </w:rPr>
              <w:tab/>
            </w:r>
          </w:p>
        </w:tc>
        <w:tc>
          <w:tcPr>
            <w:tcW w:w="1710" w:type="dxa"/>
            <w:tcBorders>
              <w:top w:val="single" w:sz="12" w:space="0" w:color="auto"/>
              <w:left w:val="nil"/>
              <w:bottom w:val="single" w:sz="4"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 xml:space="preserve">Kasus </w:t>
            </w:r>
          </w:p>
        </w:tc>
      </w:tr>
      <w:tr w:rsidR="008911DC" w:rsidRPr="008911DC" w:rsidTr="003E1D6E">
        <w:trPr>
          <w:jc w:val="center"/>
        </w:trPr>
        <w:tc>
          <w:tcPr>
            <w:tcW w:w="2610" w:type="dxa"/>
            <w:tcBorders>
              <w:top w:val="single" w:sz="4" w:space="0" w:color="auto"/>
              <w:left w:val="nil"/>
              <w:bottom w:val="single" w:sz="4" w:space="0" w:color="FFFFFF"/>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Demam</w:t>
            </w:r>
          </w:p>
        </w:tc>
        <w:tc>
          <w:tcPr>
            <w:tcW w:w="1710" w:type="dxa"/>
            <w:tcBorders>
              <w:top w:val="single" w:sz="4" w:space="0" w:color="auto"/>
              <w:left w:val="nil"/>
              <w:bottom w:val="single" w:sz="4" w:space="0" w:color="FFFFFF"/>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24 (58</w:t>
            </w:r>
            <w:proofErr w:type="gramStart"/>
            <w:r w:rsidRPr="008911DC">
              <w:rPr>
                <w:rFonts w:ascii="Times New Roman" w:hAnsi="Times New Roman"/>
                <w:sz w:val="24"/>
                <w:szCs w:val="24"/>
              </w:rPr>
              <w:t>,5</w:t>
            </w:r>
            <w:proofErr w:type="gramEnd"/>
            <w:r w:rsidRPr="008911DC">
              <w:rPr>
                <w:rFonts w:ascii="Times New Roman" w:hAnsi="Times New Roman"/>
                <w:sz w:val="24"/>
                <w:szCs w:val="24"/>
              </w:rPr>
              <w:t>%)</w:t>
            </w:r>
          </w:p>
        </w:tc>
      </w:tr>
      <w:tr w:rsidR="008911DC" w:rsidRPr="008911DC" w:rsidTr="003E1D6E">
        <w:trPr>
          <w:jc w:val="center"/>
        </w:trPr>
        <w:tc>
          <w:tcPr>
            <w:tcW w:w="2610"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Penurunan berat badan</w:t>
            </w:r>
          </w:p>
        </w:tc>
        <w:tc>
          <w:tcPr>
            <w:tcW w:w="1710"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38 (92</w:t>
            </w:r>
            <w:proofErr w:type="gramStart"/>
            <w:r w:rsidRPr="008911DC">
              <w:rPr>
                <w:rFonts w:ascii="Times New Roman" w:hAnsi="Times New Roman"/>
                <w:sz w:val="24"/>
                <w:szCs w:val="24"/>
              </w:rPr>
              <w:t>,7</w:t>
            </w:r>
            <w:proofErr w:type="gramEnd"/>
            <w:r w:rsidRPr="008911DC">
              <w:rPr>
                <w:rFonts w:ascii="Times New Roman" w:hAnsi="Times New Roman"/>
                <w:sz w:val="24"/>
                <w:szCs w:val="24"/>
              </w:rPr>
              <w:t>%)</w:t>
            </w:r>
          </w:p>
        </w:tc>
      </w:tr>
      <w:tr w:rsidR="008911DC" w:rsidRPr="008911DC" w:rsidTr="003E1D6E">
        <w:trPr>
          <w:jc w:val="center"/>
        </w:trPr>
        <w:tc>
          <w:tcPr>
            <w:tcW w:w="2610"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Anemia</w:t>
            </w:r>
          </w:p>
        </w:tc>
        <w:tc>
          <w:tcPr>
            <w:tcW w:w="1710"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34 (82</w:t>
            </w:r>
            <w:proofErr w:type="gramStart"/>
            <w:r w:rsidRPr="008911DC">
              <w:rPr>
                <w:rFonts w:ascii="Times New Roman" w:hAnsi="Times New Roman"/>
                <w:sz w:val="24"/>
                <w:szCs w:val="24"/>
              </w:rPr>
              <w:t>,9</w:t>
            </w:r>
            <w:proofErr w:type="gramEnd"/>
            <w:r w:rsidRPr="008911DC">
              <w:rPr>
                <w:rFonts w:ascii="Times New Roman" w:hAnsi="Times New Roman"/>
                <w:sz w:val="24"/>
                <w:szCs w:val="24"/>
              </w:rPr>
              <w:t>%)</w:t>
            </w:r>
          </w:p>
        </w:tc>
      </w:tr>
      <w:tr w:rsidR="008911DC" w:rsidRPr="008911DC" w:rsidTr="003E1D6E">
        <w:trPr>
          <w:jc w:val="center"/>
        </w:trPr>
        <w:tc>
          <w:tcPr>
            <w:tcW w:w="2610"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Perdarahan</w:t>
            </w:r>
          </w:p>
        </w:tc>
        <w:tc>
          <w:tcPr>
            <w:tcW w:w="1710"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15 (36</w:t>
            </w:r>
            <w:proofErr w:type="gramStart"/>
            <w:r w:rsidRPr="008911DC">
              <w:rPr>
                <w:rFonts w:ascii="Times New Roman" w:hAnsi="Times New Roman"/>
                <w:sz w:val="24"/>
                <w:szCs w:val="24"/>
              </w:rPr>
              <w:t>,6</w:t>
            </w:r>
            <w:proofErr w:type="gramEnd"/>
            <w:r w:rsidRPr="008911DC">
              <w:rPr>
                <w:rFonts w:ascii="Times New Roman" w:hAnsi="Times New Roman"/>
                <w:sz w:val="24"/>
                <w:szCs w:val="24"/>
              </w:rPr>
              <w:t>%)</w:t>
            </w:r>
          </w:p>
        </w:tc>
      </w:tr>
      <w:tr w:rsidR="008911DC" w:rsidRPr="008911DC" w:rsidTr="003E1D6E">
        <w:trPr>
          <w:jc w:val="center"/>
        </w:trPr>
        <w:tc>
          <w:tcPr>
            <w:tcW w:w="2610"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Splenomegali</w:t>
            </w:r>
          </w:p>
        </w:tc>
        <w:tc>
          <w:tcPr>
            <w:tcW w:w="1710"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37 (90</w:t>
            </w:r>
            <w:proofErr w:type="gramStart"/>
            <w:r w:rsidRPr="008911DC">
              <w:rPr>
                <w:rFonts w:ascii="Times New Roman" w:hAnsi="Times New Roman"/>
                <w:sz w:val="24"/>
                <w:szCs w:val="24"/>
              </w:rPr>
              <w:t>,2</w:t>
            </w:r>
            <w:proofErr w:type="gramEnd"/>
            <w:r w:rsidRPr="008911DC">
              <w:rPr>
                <w:rFonts w:ascii="Times New Roman" w:hAnsi="Times New Roman"/>
                <w:sz w:val="24"/>
                <w:szCs w:val="24"/>
              </w:rPr>
              <w:t>%)</w:t>
            </w:r>
          </w:p>
        </w:tc>
      </w:tr>
      <w:tr w:rsidR="008911DC" w:rsidRPr="008911DC" w:rsidTr="003E1D6E">
        <w:trPr>
          <w:jc w:val="center"/>
        </w:trPr>
        <w:tc>
          <w:tcPr>
            <w:tcW w:w="2610" w:type="dxa"/>
            <w:tcBorders>
              <w:top w:val="single" w:sz="4" w:space="0" w:color="FFFFFF"/>
              <w:left w:val="nil"/>
              <w:bottom w:val="single" w:sz="12"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Hepatomegali</w:t>
            </w:r>
          </w:p>
        </w:tc>
        <w:tc>
          <w:tcPr>
            <w:tcW w:w="1710" w:type="dxa"/>
            <w:tcBorders>
              <w:top w:val="single" w:sz="4" w:space="0" w:color="FFFFFF"/>
              <w:left w:val="nil"/>
              <w:bottom w:val="single" w:sz="12" w:space="0" w:color="auto"/>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11 (26</w:t>
            </w:r>
            <w:proofErr w:type="gramStart"/>
            <w:r w:rsidRPr="008911DC">
              <w:rPr>
                <w:rFonts w:ascii="Times New Roman" w:hAnsi="Times New Roman"/>
                <w:sz w:val="24"/>
                <w:szCs w:val="24"/>
              </w:rPr>
              <w:t>,8</w:t>
            </w:r>
            <w:proofErr w:type="gramEnd"/>
            <w:r w:rsidRPr="008911DC">
              <w:rPr>
                <w:rFonts w:ascii="Times New Roman" w:hAnsi="Times New Roman"/>
                <w:sz w:val="24"/>
                <w:szCs w:val="24"/>
              </w:rPr>
              <w:t>%)</w:t>
            </w:r>
          </w:p>
        </w:tc>
      </w:tr>
    </w:tbl>
    <w:p w:rsidR="003E1D6E" w:rsidRPr="008911DC" w:rsidRDefault="003E1D6E" w:rsidP="008911DC">
      <w:pPr>
        <w:pStyle w:val="ListParagraph"/>
        <w:spacing w:before="240" w:line="360" w:lineRule="auto"/>
        <w:ind w:left="0" w:firstLine="720"/>
        <w:jc w:val="both"/>
        <w:rPr>
          <w:rFonts w:ascii="Times New Roman" w:eastAsia="Times New Roman" w:hAnsi="Times New Roman"/>
          <w:sz w:val="24"/>
          <w:szCs w:val="24"/>
        </w:rPr>
      </w:pPr>
      <w:r w:rsidRPr="008911DC">
        <w:rPr>
          <w:rFonts w:ascii="Times New Roman" w:hAnsi="Times New Roman"/>
          <w:sz w:val="24"/>
          <w:szCs w:val="24"/>
        </w:rPr>
        <w:t>Manifestasi klinis yang paling dominan adalah penurunan berat badan, ini dialami oleh 38 orang (92</w:t>
      </w:r>
      <w:proofErr w:type="gramStart"/>
      <w:r w:rsidRPr="008911DC">
        <w:rPr>
          <w:rFonts w:ascii="Times New Roman" w:hAnsi="Times New Roman"/>
          <w:sz w:val="24"/>
          <w:szCs w:val="24"/>
        </w:rPr>
        <w:t>,7</w:t>
      </w:r>
      <w:proofErr w:type="gramEnd"/>
      <w:r w:rsidRPr="008911DC">
        <w:rPr>
          <w:rFonts w:ascii="Times New Roman" w:hAnsi="Times New Roman"/>
          <w:sz w:val="24"/>
          <w:szCs w:val="24"/>
        </w:rPr>
        <w:t>%). Diikuti oleh splenomegali 37 orang (90</w:t>
      </w:r>
      <w:proofErr w:type="gramStart"/>
      <w:r w:rsidRPr="008911DC">
        <w:rPr>
          <w:rFonts w:ascii="Times New Roman" w:hAnsi="Times New Roman"/>
          <w:sz w:val="24"/>
          <w:szCs w:val="24"/>
        </w:rPr>
        <w:t>,2</w:t>
      </w:r>
      <w:proofErr w:type="gramEnd"/>
      <w:r w:rsidRPr="008911DC">
        <w:rPr>
          <w:rFonts w:ascii="Times New Roman" w:hAnsi="Times New Roman"/>
          <w:sz w:val="24"/>
          <w:szCs w:val="24"/>
        </w:rPr>
        <w:t>%), anemia 34 orang (82,9%), demam 24 orang (58,5%), perdarahan 15 orang (36,6%), dan hepatomegali 11 orang (26,8%).</w:t>
      </w:r>
    </w:p>
    <w:p w:rsidR="003E1D6E" w:rsidRPr="008911DC" w:rsidRDefault="003E1D6E" w:rsidP="00845FDF">
      <w:pPr>
        <w:pStyle w:val="ListParagraph"/>
        <w:spacing w:after="0" w:line="360" w:lineRule="auto"/>
        <w:ind w:left="0"/>
        <w:jc w:val="center"/>
        <w:rPr>
          <w:rFonts w:ascii="Times New Roman" w:hAnsi="Times New Roman"/>
          <w:sz w:val="24"/>
          <w:szCs w:val="24"/>
        </w:rPr>
      </w:pPr>
      <w:r w:rsidRPr="008911DC">
        <w:rPr>
          <w:rFonts w:ascii="Times New Roman" w:hAnsi="Times New Roman"/>
          <w:b/>
          <w:sz w:val="24"/>
          <w:szCs w:val="24"/>
        </w:rPr>
        <w:t>Tabel 3</w:t>
      </w:r>
      <w:r w:rsidR="008911DC">
        <w:rPr>
          <w:rFonts w:ascii="Times New Roman" w:hAnsi="Times New Roman"/>
          <w:b/>
          <w:sz w:val="24"/>
          <w:szCs w:val="24"/>
        </w:rPr>
        <w:t>.</w:t>
      </w:r>
      <w:r w:rsidRPr="008911DC">
        <w:rPr>
          <w:rFonts w:ascii="Times New Roman" w:hAnsi="Times New Roman"/>
          <w:b/>
          <w:sz w:val="24"/>
          <w:szCs w:val="24"/>
        </w:rPr>
        <w:t xml:space="preserve"> </w:t>
      </w:r>
      <w:r w:rsidRPr="008911DC">
        <w:rPr>
          <w:rFonts w:ascii="Times New Roman" w:hAnsi="Times New Roman"/>
          <w:sz w:val="24"/>
          <w:szCs w:val="24"/>
        </w:rPr>
        <w:t>Transfusi Darah Pada Penderita LMK</w:t>
      </w:r>
    </w:p>
    <w:tbl>
      <w:tblPr>
        <w:tblW w:w="0" w:type="auto"/>
        <w:jc w:val="center"/>
        <w:tblLook w:val="04A0" w:firstRow="1" w:lastRow="0" w:firstColumn="1" w:lastColumn="0" w:noHBand="0" w:noVBand="1"/>
      </w:tblPr>
      <w:tblGrid>
        <w:gridCol w:w="2340"/>
        <w:gridCol w:w="1710"/>
      </w:tblGrid>
      <w:tr w:rsidR="008911DC" w:rsidRPr="008911DC" w:rsidTr="003E1D6E">
        <w:trPr>
          <w:jc w:val="center"/>
        </w:trPr>
        <w:tc>
          <w:tcPr>
            <w:tcW w:w="2340" w:type="dxa"/>
            <w:tcBorders>
              <w:top w:val="single" w:sz="12" w:space="0" w:color="auto"/>
              <w:left w:val="nil"/>
              <w:bottom w:val="single" w:sz="4" w:space="0" w:color="auto"/>
              <w:right w:val="nil"/>
            </w:tcBorders>
            <w:hideMark/>
          </w:tcPr>
          <w:p w:rsidR="003E1D6E" w:rsidRPr="008911DC" w:rsidRDefault="003E1D6E" w:rsidP="00845FDF">
            <w:pPr>
              <w:tabs>
                <w:tab w:val="left" w:pos="2085"/>
              </w:tabs>
              <w:spacing w:after="0" w:line="360" w:lineRule="auto"/>
              <w:rPr>
                <w:rFonts w:ascii="Times New Roman" w:hAnsi="Times New Roman"/>
                <w:bCs/>
                <w:sz w:val="24"/>
                <w:szCs w:val="24"/>
              </w:rPr>
            </w:pPr>
            <w:r w:rsidRPr="008911DC">
              <w:rPr>
                <w:rFonts w:ascii="Times New Roman" w:hAnsi="Times New Roman"/>
                <w:bCs/>
                <w:sz w:val="24"/>
                <w:szCs w:val="24"/>
              </w:rPr>
              <w:t>Tindakan medis</w:t>
            </w:r>
            <w:r w:rsidRPr="008911DC">
              <w:rPr>
                <w:rFonts w:ascii="Times New Roman" w:hAnsi="Times New Roman"/>
                <w:bCs/>
                <w:sz w:val="24"/>
                <w:szCs w:val="24"/>
              </w:rPr>
              <w:tab/>
            </w:r>
          </w:p>
        </w:tc>
        <w:tc>
          <w:tcPr>
            <w:tcW w:w="1710" w:type="dxa"/>
            <w:tcBorders>
              <w:top w:val="single" w:sz="12" w:space="0" w:color="auto"/>
              <w:left w:val="nil"/>
              <w:bottom w:val="single" w:sz="4"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Kasus</w:t>
            </w:r>
          </w:p>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n=41</w:t>
            </w:r>
          </w:p>
        </w:tc>
      </w:tr>
      <w:tr w:rsidR="008911DC" w:rsidRPr="008911DC" w:rsidTr="003E1D6E">
        <w:trPr>
          <w:jc w:val="center"/>
        </w:trPr>
        <w:tc>
          <w:tcPr>
            <w:tcW w:w="2340" w:type="dxa"/>
            <w:tcBorders>
              <w:top w:val="single" w:sz="4" w:space="0" w:color="auto"/>
              <w:left w:val="nil"/>
              <w:bottom w:val="single" w:sz="12"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Transfusi darah</w:t>
            </w:r>
          </w:p>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Ya</w:t>
            </w:r>
          </w:p>
          <w:p w:rsidR="003E1D6E" w:rsidRPr="008911DC" w:rsidRDefault="003E1D6E" w:rsidP="00845FDF">
            <w:pPr>
              <w:spacing w:after="0" w:line="360" w:lineRule="auto"/>
              <w:rPr>
                <w:rFonts w:ascii="Times New Roman" w:hAnsi="Times New Roman"/>
                <w:b/>
                <w:bCs/>
                <w:sz w:val="24"/>
                <w:szCs w:val="24"/>
              </w:rPr>
            </w:pPr>
            <w:r w:rsidRPr="008911DC">
              <w:rPr>
                <w:rFonts w:ascii="Times New Roman" w:hAnsi="Times New Roman"/>
                <w:bCs/>
                <w:sz w:val="24"/>
                <w:szCs w:val="24"/>
              </w:rPr>
              <w:t>Tidak</w:t>
            </w:r>
          </w:p>
        </w:tc>
        <w:tc>
          <w:tcPr>
            <w:tcW w:w="1710" w:type="dxa"/>
            <w:tcBorders>
              <w:top w:val="single" w:sz="4" w:space="0" w:color="auto"/>
              <w:left w:val="nil"/>
              <w:bottom w:val="single" w:sz="12" w:space="0" w:color="auto"/>
              <w:right w:val="nil"/>
            </w:tcBorders>
          </w:tcPr>
          <w:p w:rsidR="003E1D6E" w:rsidRPr="008911DC" w:rsidRDefault="003E1D6E" w:rsidP="00845FDF">
            <w:pPr>
              <w:spacing w:after="0" w:line="360" w:lineRule="auto"/>
              <w:rPr>
                <w:rFonts w:ascii="Times New Roman" w:hAnsi="Times New Roman"/>
                <w:sz w:val="24"/>
                <w:szCs w:val="24"/>
              </w:rPr>
            </w:pPr>
          </w:p>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24 (58</w:t>
            </w:r>
            <w:proofErr w:type="gramStart"/>
            <w:r w:rsidRPr="008911DC">
              <w:rPr>
                <w:rFonts w:ascii="Times New Roman" w:hAnsi="Times New Roman"/>
                <w:sz w:val="24"/>
                <w:szCs w:val="24"/>
              </w:rPr>
              <w:t>,5</w:t>
            </w:r>
            <w:proofErr w:type="gramEnd"/>
            <w:r w:rsidRPr="008911DC">
              <w:rPr>
                <w:rFonts w:ascii="Times New Roman" w:hAnsi="Times New Roman"/>
                <w:sz w:val="24"/>
                <w:szCs w:val="24"/>
              </w:rPr>
              <w:t>%)</w:t>
            </w:r>
          </w:p>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17 (41</w:t>
            </w:r>
            <w:proofErr w:type="gramStart"/>
            <w:r w:rsidRPr="008911DC">
              <w:rPr>
                <w:rFonts w:ascii="Times New Roman" w:hAnsi="Times New Roman"/>
                <w:sz w:val="24"/>
                <w:szCs w:val="24"/>
              </w:rPr>
              <w:t>,5</w:t>
            </w:r>
            <w:proofErr w:type="gramEnd"/>
            <w:r w:rsidRPr="008911DC">
              <w:rPr>
                <w:rFonts w:ascii="Times New Roman" w:hAnsi="Times New Roman"/>
                <w:sz w:val="24"/>
                <w:szCs w:val="24"/>
              </w:rPr>
              <w:t>%)</w:t>
            </w:r>
          </w:p>
        </w:tc>
      </w:tr>
    </w:tbl>
    <w:p w:rsidR="003E1D6E" w:rsidRPr="008911DC" w:rsidRDefault="003E1D6E" w:rsidP="003E1D6E">
      <w:pPr>
        <w:spacing w:before="240" w:line="360" w:lineRule="auto"/>
        <w:ind w:firstLine="720"/>
        <w:jc w:val="both"/>
        <w:rPr>
          <w:rFonts w:ascii="Times New Roman" w:hAnsi="Times New Roman"/>
          <w:sz w:val="24"/>
          <w:szCs w:val="24"/>
        </w:rPr>
      </w:pPr>
      <w:r w:rsidRPr="008911DC">
        <w:rPr>
          <w:rFonts w:ascii="Times New Roman" w:hAnsi="Times New Roman"/>
          <w:sz w:val="24"/>
          <w:szCs w:val="24"/>
        </w:rPr>
        <w:t>Pada penelitian ini lebih dari setengah penderita LMK melakukan transfusi darah, yaitu sejumlah 24 orang (58</w:t>
      </w:r>
      <w:proofErr w:type="gramStart"/>
      <w:r w:rsidRPr="008911DC">
        <w:rPr>
          <w:rFonts w:ascii="Times New Roman" w:hAnsi="Times New Roman"/>
          <w:sz w:val="24"/>
          <w:szCs w:val="24"/>
        </w:rPr>
        <w:t>,5</w:t>
      </w:r>
      <w:proofErr w:type="gramEnd"/>
      <w:r w:rsidRPr="008911DC">
        <w:rPr>
          <w:rFonts w:ascii="Times New Roman" w:hAnsi="Times New Roman"/>
          <w:sz w:val="24"/>
          <w:szCs w:val="24"/>
        </w:rPr>
        <w:t>%).</w:t>
      </w:r>
    </w:p>
    <w:p w:rsidR="00845FDF" w:rsidRPr="008911DC" w:rsidRDefault="00845FDF" w:rsidP="003E1D6E">
      <w:pPr>
        <w:spacing w:before="240" w:line="360" w:lineRule="auto"/>
        <w:ind w:left="360" w:firstLine="360"/>
        <w:jc w:val="center"/>
        <w:rPr>
          <w:rFonts w:ascii="Times New Roman" w:eastAsia="Times New Roman" w:hAnsi="Times New Roman"/>
          <w:b/>
          <w:sz w:val="24"/>
          <w:szCs w:val="24"/>
        </w:rPr>
        <w:sectPr w:rsidR="00845FDF" w:rsidRPr="008911DC" w:rsidSect="003E1D6E">
          <w:type w:val="continuous"/>
          <w:pgSz w:w="11907" w:h="16839" w:code="9"/>
          <w:pgMar w:top="1440" w:right="1701" w:bottom="1440" w:left="1701" w:header="720" w:footer="720" w:gutter="0"/>
          <w:cols w:num="2" w:space="720"/>
          <w:docGrid w:linePitch="360"/>
        </w:sectPr>
      </w:pPr>
    </w:p>
    <w:p w:rsidR="003E1D6E" w:rsidRPr="008911DC" w:rsidRDefault="003E1D6E" w:rsidP="003E1D6E">
      <w:pPr>
        <w:spacing w:before="240" w:line="360" w:lineRule="auto"/>
        <w:ind w:left="360" w:firstLine="360"/>
        <w:jc w:val="center"/>
        <w:rPr>
          <w:rFonts w:ascii="Times New Roman" w:hAnsi="Times New Roman"/>
          <w:sz w:val="24"/>
          <w:szCs w:val="24"/>
        </w:rPr>
      </w:pPr>
      <w:r w:rsidRPr="008911DC">
        <w:rPr>
          <w:rFonts w:ascii="Times New Roman" w:eastAsia="Times New Roman" w:hAnsi="Times New Roman"/>
          <w:b/>
          <w:sz w:val="24"/>
          <w:szCs w:val="24"/>
        </w:rPr>
        <w:lastRenderedPageBreak/>
        <w:t>Tabel 4</w:t>
      </w:r>
      <w:r w:rsidR="008911DC">
        <w:rPr>
          <w:rFonts w:ascii="Times New Roman" w:eastAsia="Times New Roman" w:hAnsi="Times New Roman"/>
          <w:b/>
          <w:sz w:val="24"/>
          <w:szCs w:val="24"/>
        </w:rPr>
        <w:t>.</w:t>
      </w:r>
      <w:r w:rsidRPr="008911DC">
        <w:rPr>
          <w:rFonts w:ascii="Times New Roman" w:eastAsia="Times New Roman" w:hAnsi="Times New Roman"/>
          <w:b/>
          <w:sz w:val="24"/>
          <w:szCs w:val="24"/>
        </w:rPr>
        <w:t xml:space="preserve"> </w:t>
      </w:r>
      <w:r w:rsidRPr="008911DC">
        <w:rPr>
          <w:rFonts w:ascii="Times New Roman" w:eastAsia="Times New Roman" w:hAnsi="Times New Roman"/>
          <w:sz w:val="24"/>
          <w:szCs w:val="24"/>
        </w:rPr>
        <w:t>Hasil Darah Lengkap Pasien LMK</w:t>
      </w:r>
    </w:p>
    <w:tbl>
      <w:tblPr>
        <w:tblW w:w="9180" w:type="dxa"/>
        <w:jc w:val="center"/>
        <w:tblLook w:val="04A0" w:firstRow="1" w:lastRow="0" w:firstColumn="1" w:lastColumn="0" w:noHBand="0" w:noVBand="1"/>
      </w:tblPr>
      <w:tblGrid>
        <w:gridCol w:w="3465"/>
        <w:gridCol w:w="2772"/>
        <w:gridCol w:w="2943"/>
      </w:tblGrid>
      <w:tr w:rsidR="008911DC" w:rsidRPr="008911DC" w:rsidTr="008911DC">
        <w:trPr>
          <w:jc w:val="center"/>
        </w:trPr>
        <w:tc>
          <w:tcPr>
            <w:tcW w:w="3465" w:type="dxa"/>
            <w:tcBorders>
              <w:top w:val="single" w:sz="12" w:space="0" w:color="auto"/>
              <w:left w:val="nil"/>
              <w:bottom w:val="single" w:sz="4" w:space="0" w:color="auto"/>
              <w:right w:val="nil"/>
            </w:tcBorders>
            <w:hideMark/>
          </w:tcPr>
          <w:p w:rsidR="003E1D6E" w:rsidRPr="008911DC" w:rsidRDefault="003E1D6E">
            <w:pPr>
              <w:spacing w:after="0" w:line="360" w:lineRule="auto"/>
              <w:ind w:left="360"/>
              <w:rPr>
                <w:rFonts w:ascii="Times New Roman" w:hAnsi="Times New Roman"/>
                <w:bCs/>
                <w:sz w:val="24"/>
                <w:szCs w:val="24"/>
              </w:rPr>
            </w:pPr>
            <w:r w:rsidRPr="008911DC">
              <w:rPr>
                <w:rFonts w:ascii="Times New Roman" w:hAnsi="Times New Roman"/>
                <w:bCs/>
                <w:sz w:val="24"/>
                <w:szCs w:val="24"/>
              </w:rPr>
              <w:t>Hasil pemeriksaan darah</w:t>
            </w:r>
          </w:p>
        </w:tc>
        <w:tc>
          <w:tcPr>
            <w:tcW w:w="2772" w:type="dxa"/>
            <w:tcBorders>
              <w:top w:val="single" w:sz="12" w:space="0" w:color="auto"/>
              <w:left w:val="nil"/>
              <w:bottom w:val="single" w:sz="4" w:space="0" w:color="auto"/>
              <w:right w:val="nil"/>
            </w:tcBorders>
            <w:hideMark/>
          </w:tcPr>
          <w:p w:rsidR="003E1D6E" w:rsidRPr="008911DC" w:rsidRDefault="003E1D6E">
            <w:pPr>
              <w:spacing w:after="0" w:line="360" w:lineRule="auto"/>
              <w:ind w:left="360"/>
              <w:rPr>
                <w:rFonts w:ascii="Times New Roman" w:hAnsi="Times New Roman"/>
                <w:bCs/>
                <w:sz w:val="24"/>
                <w:szCs w:val="24"/>
              </w:rPr>
            </w:pPr>
            <w:r w:rsidRPr="008911DC">
              <w:rPr>
                <w:rFonts w:ascii="Times New Roman" w:hAnsi="Times New Roman"/>
                <w:bCs/>
                <w:sz w:val="24"/>
                <w:szCs w:val="24"/>
              </w:rPr>
              <w:t xml:space="preserve">Rerata </w:t>
            </w:r>
          </w:p>
        </w:tc>
        <w:tc>
          <w:tcPr>
            <w:tcW w:w="2943" w:type="dxa"/>
            <w:tcBorders>
              <w:top w:val="single" w:sz="12" w:space="0" w:color="auto"/>
              <w:left w:val="nil"/>
              <w:bottom w:val="single" w:sz="4" w:space="0" w:color="auto"/>
              <w:right w:val="nil"/>
            </w:tcBorders>
            <w:hideMark/>
          </w:tcPr>
          <w:p w:rsidR="003E1D6E" w:rsidRPr="008911DC" w:rsidRDefault="003E1D6E">
            <w:pPr>
              <w:spacing w:after="0" w:line="360" w:lineRule="auto"/>
              <w:ind w:left="360"/>
              <w:rPr>
                <w:rFonts w:ascii="Times New Roman" w:hAnsi="Times New Roman"/>
                <w:bCs/>
                <w:sz w:val="24"/>
                <w:szCs w:val="24"/>
              </w:rPr>
            </w:pPr>
            <w:r w:rsidRPr="008911DC">
              <w:rPr>
                <w:rFonts w:ascii="Times New Roman" w:hAnsi="Times New Roman"/>
                <w:bCs/>
                <w:sz w:val="24"/>
                <w:szCs w:val="24"/>
              </w:rPr>
              <w:t xml:space="preserve">Median </w:t>
            </w:r>
          </w:p>
        </w:tc>
      </w:tr>
      <w:tr w:rsidR="008911DC" w:rsidRPr="008911DC" w:rsidTr="008911DC">
        <w:trPr>
          <w:jc w:val="center"/>
        </w:trPr>
        <w:tc>
          <w:tcPr>
            <w:tcW w:w="3465" w:type="dxa"/>
            <w:tcBorders>
              <w:top w:val="single" w:sz="4" w:space="0" w:color="auto"/>
              <w:left w:val="nil"/>
              <w:bottom w:val="single" w:sz="4" w:space="0" w:color="FFFFFF"/>
              <w:right w:val="nil"/>
            </w:tcBorders>
            <w:hideMark/>
          </w:tcPr>
          <w:p w:rsidR="003E1D6E" w:rsidRPr="008911DC" w:rsidRDefault="003E1D6E">
            <w:pPr>
              <w:spacing w:after="0" w:line="360" w:lineRule="auto"/>
              <w:ind w:left="360"/>
              <w:rPr>
                <w:rFonts w:ascii="Times New Roman" w:hAnsi="Times New Roman"/>
                <w:bCs/>
                <w:sz w:val="24"/>
                <w:szCs w:val="24"/>
              </w:rPr>
            </w:pPr>
            <w:r w:rsidRPr="008911DC">
              <w:rPr>
                <w:rFonts w:ascii="Times New Roman" w:hAnsi="Times New Roman"/>
                <w:bCs/>
                <w:sz w:val="24"/>
                <w:szCs w:val="24"/>
              </w:rPr>
              <w:t xml:space="preserve">Leukosit </w:t>
            </w:r>
          </w:p>
        </w:tc>
        <w:tc>
          <w:tcPr>
            <w:tcW w:w="2772" w:type="dxa"/>
            <w:tcBorders>
              <w:top w:val="single" w:sz="4" w:space="0" w:color="auto"/>
              <w:left w:val="nil"/>
              <w:bottom w:val="single" w:sz="4" w:space="0" w:color="FFFFFF"/>
              <w:right w:val="nil"/>
            </w:tcBorders>
            <w:hideMark/>
          </w:tcPr>
          <w:p w:rsidR="003E1D6E" w:rsidRPr="008911DC" w:rsidRDefault="003E1D6E">
            <w:pPr>
              <w:spacing w:after="0" w:line="360" w:lineRule="auto"/>
              <w:ind w:left="360"/>
              <w:rPr>
                <w:rFonts w:ascii="Times New Roman" w:hAnsi="Times New Roman"/>
                <w:sz w:val="24"/>
                <w:szCs w:val="24"/>
              </w:rPr>
            </w:pPr>
            <w:r w:rsidRPr="008911DC">
              <w:rPr>
                <w:rFonts w:ascii="Times New Roman" w:hAnsi="Times New Roman"/>
                <w:sz w:val="24"/>
                <w:szCs w:val="24"/>
              </w:rPr>
              <w:t>232,50 x 10</w:t>
            </w:r>
            <w:r w:rsidRPr="008911DC">
              <w:rPr>
                <w:rFonts w:ascii="Times New Roman" w:hAnsi="Times New Roman"/>
                <w:sz w:val="24"/>
                <w:szCs w:val="24"/>
                <w:vertAlign w:val="superscript"/>
              </w:rPr>
              <w:t xml:space="preserve">3 </w:t>
            </w:r>
            <w:r w:rsidRPr="008911DC">
              <w:rPr>
                <w:rFonts w:ascii="Times New Roman" w:hAnsi="Times New Roman"/>
                <w:sz w:val="24"/>
                <w:szCs w:val="24"/>
              </w:rPr>
              <w:t>sel /µl</w:t>
            </w:r>
          </w:p>
        </w:tc>
        <w:tc>
          <w:tcPr>
            <w:tcW w:w="2943" w:type="dxa"/>
            <w:tcBorders>
              <w:top w:val="single" w:sz="4" w:space="0" w:color="auto"/>
              <w:left w:val="nil"/>
              <w:bottom w:val="single" w:sz="4" w:space="0" w:color="FFFFFF"/>
              <w:right w:val="nil"/>
            </w:tcBorders>
            <w:hideMark/>
          </w:tcPr>
          <w:p w:rsidR="003E1D6E" w:rsidRPr="008911DC" w:rsidRDefault="003E1D6E">
            <w:pPr>
              <w:spacing w:after="0" w:line="360" w:lineRule="auto"/>
              <w:ind w:left="360"/>
              <w:rPr>
                <w:rFonts w:ascii="Times New Roman" w:hAnsi="Times New Roman"/>
                <w:sz w:val="24"/>
                <w:szCs w:val="24"/>
              </w:rPr>
            </w:pPr>
            <w:r w:rsidRPr="008911DC">
              <w:rPr>
                <w:rFonts w:ascii="Times New Roman" w:hAnsi="Times New Roman"/>
                <w:sz w:val="24"/>
                <w:szCs w:val="24"/>
              </w:rPr>
              <w:t>170,60 x 10</w:t>
            </w:r>
            <w:r w:rsidRPr="008911DC">
              <w:rPr>
                <w:rFonts w:ascii="Times New Roman" w:hAnsi="Times New Roman"/>
                <w:sz w:val="24"/>
                <w:szCs w:val="24"/>
                <w:vertAlign w:val="superscript"/>
              </w:rPr>
              <w:t>3</w:t>
            </w:r>
            <w:r w:rsidRPr="008911DC">
              <w:rPr>
                <w:rFonts w:ascii="Times New Roman" w:hAnsi="Times New Roman"/>
                <w:sz w:val="24"/>
                <w:szCs w:val="24"/>
              </w:rPr>
              <w:t xml:space="preserve"> sel/µl</w:t>
            </w:r>
          </w:p>
        </w:tc>
      </w:tr>
      <w:tr w:rsidR="008911DC" w:rsidRPr="008911DC" w:rsidTr="008911DC">
        <w:trPr>
          <w:jc w:val="center"/>
        </w:trPr>
        <w:tc>
          <w:tcPr>
            <w:tcW w:w="3465" w:type="dxa"/>
            <w:tcBorders>
              <w:top w:val="single" w:sz="4" w:space="0" w:color="FFFFFF"/>
              <w:left w:val="nil"/>
              <w:bottom w:val="single" w:sz="4" w:space="0" w:color="FFFFFF"/>
              <w:right w:val="nil"/>
            </w:tcBorders>
            <w:hideMark/>
          </w:tcPr>
          <w:p w:rsidR="003E1D6E" w:rsidRPr="008911DC" w:rsidRDefault="003E1D6E">
            <w:pPr>
              <w:spacing w:after="0" w:line="360" w:lineRule="auto"/>
              <w:ind w:left="360"/>
              <w:rPr>
                <w:rFonts w:ascii="Times New Roman" w:hAnsi="Times New Roman"/>
                <w:bCs/>
                <w:sz w:val="24"/>
                <w:szCs w:val="24"/>
              </w:rPr>
            </w:pPr>
            <w:r w:rsidRPr="008911DC">
              <w:rPr>
                <w:rFonts w:ascii="Times New Roman" w:hAnsi="Times New Roman"/>
                <w:bCs/>
                <w:sz w:val="24"/>
                <w:szCs w:val="24"/>
              </w:rPr>
              <w:t xml:space="preserve">Hemoglobin </w:t>
            </w:r>
          </w:p>
        </w:tc>
        <w:tc>
          <w:tcPr>
            <w:tcW w:w="2772" w:type="dxa"/>
            <w:tcBorders>
              <w:top w:val="single" w:sz="4" w:space="0" w:color="FFFFFF"/>
              <w:left w:val="nil"/>
              <w:bottom w:val="single" w:sz="4" w:space="0" w:color="FFFFFF"/>
              <w:right w:val="nil"/>
            </w:tcBorders>
            <w:hideMark/>
          </w:tcPr>
          <w:p w:rsidR="003E1D6E" w:rsidRPr="008911DC" w:rsidRDefault="003E1D6E">
            <w:pPr>
              <w:spacing w:after="0" w:line="360" w:lineRule="auto"/>
              <w:ind w:left="360"/>
              <w:rPr>
                <w:rFonts w:ascii="Times New Roman" w:hAnsi="Times New Roman"/>
                <w:sz w:val="24"/>
                <w:szCs w:val="24"/>
              </w:rPr>
            </w:pPr>
            <w:r w:rsidRPr="008911DC">
              <w:rPr>
                <w:rFonts w:ascii="Times New Roman" w:eastAsia="Times New Roman" w:hAnsi="Times New Roman"/>
                <w:sz w:val="24"/>
                <w:szCs w:val="24"/>
              </w:rPr>
              <w:t>9,25 g/dl</w:t>
            </w:r>
          </w:p>
        </w:tc>
        <w:tc>
          <w:tcPr>
            <w:tcW w:w="2943" w:type="dxa"/>
            <w:tcBorders>
              <w:top w:val="single" w:sz="4" w:space="0" w:color="FFFFFF"/>
              <w:left w:val="nil"/>
              <w:bottom w:val="single" w:sz="4" w:space="0" w:color="FFFFFF"/>
              <w:right w:val="nil"/>
            </w:tcBorders>
            <w:hideMark/>
          </w:tcPr>
          <w:p w:rsidR="003E1D6E" w:rsidRPr="008911DC" w:rsidRDefault="003E1D6E">
            <w:pPr>
              <w:spacing w:after="0" w:line="360" w:lineRule="auto"/>
              <w:ind w:left="360"/>
              <w:rPr>
                <w:rFonts w:ascii="Times New Roman" w:hAnsi="Times New Roman"/>
                <w:sz w:val="24"/>
                <w:szCs w:val="24"/>
              </w:rPr>
            </w:pPr>
            <w:r w:rsidRPr="008911DC">
              <w:rPr>
                <w:rFonts w:ascii="Times New Roman" w:eastAsia="Times New Roman" w:hAnsi="Times New Roman"/>
                <w:sz w:val="24"/>
                <w:szCs w:val="24"/>
              </w:rPr>
              <w:t>9,10 g/dl</w:t>
            </w:r>
          </w:p>
        </w:tc>
      </w:tr>
      <w:tr w:rsidR="008911DC" w:rsidRPr="008911DC" w:rsidTr="008911DC">
        <w:trPr>
          <w:jc w:val="center"/>
        </w:trPr>
        <w:tc>
          <w:tcPr>
            <w:tcW w:w="3465" w:type="dxa"/>
            <w:tcBorders>
              <w:top w:val="single" w:sz="4" w:space="0" w:color="FFFFFF"/>
              <w:left w:val="nil"/>
              <w:bottom w:val="single" w:sz="12" w:space="0" w:color="auto"/>
              <w:right w:val="nil"/>
            </w:tcBorders>
            <w:hideMark/>
          </w:tcPr>
          <w:p w:rsidR="003E1D6E" w:rsidRPr="008911DC" w:rsidRDefault="003E1D6E">
            <w:pPr>
              <w:spacing w:after="0" w:line="360" w:lineRule="auto"/>
              <w:ind w:left="360"/>
              <w:rPr>
                <w:rFonts w:ascii="Times New Roman" w:hAnsi="Times New Roman"/>
                <w:bCs/>
                <w:sz w:val="24"/>
                <w:szCs w:val="24"/>
              </w:rPr>
            </w:pPr>
            <w:r w:rsidRPr="008911DC">
              <w:rPr>
                <w:rFonts w:ascii="Times New Roman" w:hAnsi="Times New Roman"/>
                <w:bCs/>
                <w:sz w:val="24"/>
                <w:szCs w:val="24"/>
              </w:rPr>
              <w:t xml:space="preserve">Trombosit </w:t>
            </w:r>
          </w:p>
        </w:tc>
        <w:tc>
          <w:tcPr>
            <w:tcW w:w="2772" w:type="dxa"/>
            <w:tcBorders>
              <w:top w:val="single" w:sz="4" w:space="0" w:color="FFFFFF"/>
              <w:left w:val="nil"/>
              <w:bottom w:val="single" w:sz="12" w:space="0" w:color="auto"/>
              <w:right w:val="nil"/>
            </w:tcBorders>
            <w:hideMark/>
          </w:tcPr>
          <w:p w:rsidR="003E1D6E" w:rsidRPr="008911DC" w:rsidRDefault="003E1D6E">
            <w:pPr>
              <w:spacing w:after="0" w:line="360" w:lineRule="auto"/>
              <w:ind w:left="360"/>
              <w:rPr>
                <w:rFonts w:ascii="Times New Roman" w:hAnsi="Times New Roman"/>
                <w:sz w:val="24"/>
                <w:szCs w:val="24"/>
              </w:rPr>
            </w:pPr>
            <w:r w:rsidRPr="008911DC">
              <w:rPr>
                <w:rFonts w:ascii="Times New Roman" w:eastAsia="Times New Roman" w:hAnsi="Times New Roman"/>
                <w:sz w:val="24"/>
                <w:szCs w:val="24"/>
              </w:rPr>
              <w:t xml:space="preserve">436,41 </w:t>
            </w:r>
            <w:r w:rsidRPr="008911DC">
              <w:rPr>
                <w:rFonts w:ascii="Times New Roman" w:hAnsi="Times New Roman"/>
                <w:sz w:val="24"/>
                <w:szCs w:val="24"/>
              </w:rPr>
              <w:t>x 10</w:t>
            </w:r>
            <w:r w:rsidRPr="008911DC">
              <w:rPr>
                <w:rFonts w:ascii="Times New Roman" w:hAnsi="Times New Roman"/>
                <w:sz w:val="24"/>
                <w:szCs w:val="24"/>
                <w:vertAlign w:val="superscript"/>
              </w:rPr>
              <w:t>3</w:t>
            </w:r>
            <w:r w:rsidRPr="008911DC">
              <w:rPr>
                <w:rFonts w:ascii="Times New Roman" w:hAnsi="Times New Roman"/>
                <w:sz w:val="24"/>
                <w:szCs w:val="24"/>
              </w:rPr>
              <w:t xml:space="preserve"> sel/µl</w:t>
            </w:r>
          </w:p>
        </w:tc>
        <w:tc>
          <w:tcPr>
            <w:tcW w:w="2943" w:type="dxa"/>
            <w:tcBorders>
              <w:top w:val="single" w:sz="4" w:space="0" w:color="FFFFFF"/>
              <w:left w:val="nil"/>
              <w:bottom w:val="single" w:sz="12" w:space="0" w:color="auto"/>
              <w:right w:val="nil"/>
            </w:tcBorders>
            <w:hideMark/>
          </w:tcPr>
          <w:p w:rsidR="003E1D6E" w:rsidRPr="008911DC" w:rsidRDefault="003E1D6E">
            <w:pPr>
              <w:spacing w:after="0" w:line="360" w:lineRule="auto"/>
              <w:ind w:left="360"/>
              <w:rPr>
                <w:rFonts w:ascii="Times New Roman" w:hAnsi="Times New Roman"/>
                <w:sz w:val="24"/>
                <w:szCs w:val="24"/>
              </w:rPr>
            </w:pPr>
            <w:r w:rsidRPr="008911DC">
              <w:rPr>
                <w:rFonts w:ascii="Times New Roman" w:eastAsia="Times New Roman" w:hAnsi="Times New Roman"/>
                <w:sz w:val="24"/>
                <w:szCs w:val="24"/>
              </w:rPr>
              <w:t xml:space="preserve">336,00 </w:t>
            </w:r>
            <w:r w:rsidRPr="008911DC">
              <w:rPr>
                <w:rFonts w:ascii="Times New Roman" w:hAnsi="Times New Roman"/>
                <w:sz w:val="24"/>
                <w:szCs w:val="24"/>
              </w:rPr>
              <w:t>x 10</w:t>
            </w:r>
            <w:r w:rsidRPr="008911DC">
              <w:rPr>
                <w:rFonts w:ascii="Times New Roman" w:hAnsi="Times New Roman"/>
                <w:sz w:val="24"/>
                <w:szCs w:val="24"/>
                <w:vertAlign w:val="superscript"/>
              </w:rPr>
              <w:t>3</w:t>
            </w:r>
            <w:r w:rsidRPr="008911DC">
              <w:rPr>
                <w:rFonts w:ascii="Times New Roman" w:hAnsi="Times New Roman"/>
                <w:sz w:val="24"/>
                <w:szCs w:val="24"/>
              </w:rPr>
              <w:t xml:space="preserve"> sel/µl</w:t>
            </w:r>
          </w:p>
        </w:tc>
      </w:tr>
    </w:tbl>
    <w:p w:rsidR="003E1D6E" w:rsidRPr="008911DC" w:rsidRDefault="00845FDF" w:rsidP="00845FDF">
      <w:pPr>
        <w:tabs>
          <w:tab w:val="left" w:pos="720"/>
          <w:tab w:val="left" w:pos="1440"/>
          <w:tab w:val="left" w:pos="2160"/>
          <w:tab w:val="left" w:pos="2746"/>
          <w:tab w:val="left" w:pos="2880"/>
          <w:tab w:val="left" w:pos="3600"/>
          <w:tab w:val="center" w:pos="4252"/>
          <w:tab w:val="left" w:pos="4320"/>
          <w:tab w:val="right" w:pos="8505"/>
        </w:tabs>
        <w:spacing w:before="240" w:line="360" w:lineRule="auto"/>
        <w:rPr>
          <w:rFonts w:ascii="Times New Roman" w:eastAsia="Times New Roman" w:hAnsi="Times New Roman"/>
          <w:sz w:val="24"/>
          <w:szCs w:val="24"/>
        </w:rPr>
      </w:pPr>
      <w:r w:rsidRPr="008911DC">
        <w:rPr>
          <w:rFonts w:ascii="Times New Roman" w:eastAsia="Times New Roman" w:hAnsi="Times New Roman"/>
          <w:b/>
          <w:sz w:val="24"/>
          <w:szCs w:val="24"/>
        </w:rPr>
        <w:tab/>
      </w:r>
      <w:r w:rsidR="003E1D6E" w:rsidRPr="008911DC">
        <w:rPr>
          <w:rFonts w:ascii="Times New Roman" w:eastAsia="Times New Roman" w:hAnsi="Times New Roman"/>
          <w:b/>
          <w:sz w:val="24"/>
          <w:szCs w:val="24"/>
        </w:rPr>
        <w:t>Tabel 5</w:t>
      </w:r>
      <w:r w:rsidR="008911DC">
        <w:rPr>
          <w:rFonts w:ascii="Times New Roman" w:eastAsia="Times New Roman" w:hAnsi="Times New Roman"/>
          <w:b/>
          <w:sz w:val="24"/>
          <w:szCs w:val="24"/>
        </w:rPr>
        <w:t>.</w:t>
      </w:r>
      <w:r w:rsidR="003E1D6E" w:rsidRPr="008911DC">
        <w:rPr>
          <w:rFonts w:ascii="Times New Roman" w:eastAsia="Times New Roman" w:hAnsi="Times New Roman"/>
          <w:b/>
          <w:sz w:val="24"/>
          <w:szCs w:val="24"/>
        </w:rPr>
        <w:t xml:space="preserve"> </w:t>
      </w:r>
      <w:r w:rsidR="003E1D6E" w:rsidRPr="008911DC">
        <w:rPr>
          <w:rFonts w:ascii="Times New Roman" w:eastAsia="Times New Roman" w:hAnsi="Times New Roman"/>
          <w:sz w:val="24"/>
          <w:szCs w:val="24"/>
        </w:rPr>
        <w:t>Tabel Silang Antara Hasil Darah Lengkap Dengan Jenis Kelamin</w:t>
      </w:r>
    </w:p>
    <w:tbl>
      <w:tblPr>
        <w:tblpPr w:leftFromText="180" w:rightFromText="180" w:bottomFromText="160" w:vertAnchor="text" w:horzAnchor="margin" w:tblpXSpec="center" w:tblpY="7"/>
        <w:tblW w:w="0" w:type="auto"/>
        <w:tblLayout w:type="fixed"/>
        <w:tblLook w:val="04A0" w:firstRow="1" w:lastRow="0" w:firstColumn="1" w:lastColumn="0" w:noHBand="0" w:noVBand="1"/>
      </w:tblPr>
      <w:tblGrid>
        <w:gridCol w:w="2383"/>
        <w:gridCol w:w="2297"/>
        <w:gridCol w:w="2250"/>
        <w:gridCol w:w="2340"/>
      </w:tblGrid>
      <w:tr w:rsidR="008911DC" w:rsidRPr="008911DC" w:rsidTr="008911DC">
        <w:tc>
          <w:tcPr>
            <w:tcW w:w="4680" w:type="dxa"/>
            <w:gridSpan w:val="2"/>
            <w:vMerge w:val="restart"/>
            <w:tcBorders>
              <w:top w:val="single" w:sz="12" w:space="0" w:color="auto"/>
              <w:left w:val="nil"/>
              <w:bottom w:val="single" w:sz="2" w:space="0" w:color="auto"/>
              <w:right w:val="nil"/>
            </w:tcBorders>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Hasil Darah Lengkap</w:t>
            </w:r>
          </w:p>
        </w:tc>
        <w:tc>
          <w:tcPr>
            <w:tcW w:w="4590" w:type="dxa"/>
            <w:gridSpan w:val="2"/>
            <w:tcBorders>
              <w:top w:val="single" w:sz="12" w:space="0" w:color="auto"/>
              <w:left w:val="nil"/>
              <w:bottom w:val="nil"/>
              <w:right w:val="nil"/>
            </w:tcBorders>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Jenis Kelamin</w:t>
            </w:r>
          </w:p>
        </w:tc>
      </w:tr>
      <w:tr w:rsidR="008911DC" w:rsidRPr="008911DC" w:rsidTr="008911DC">
        <w:tc>
          <w:tcPr>
            <w:tcW w:w="6977" w:type="dxa"/>
            <w:gridSpan w:val="2"/>
            <w:vMerge/>
            <w:tcBorders>
              <w:top w:val="single" w:sz="12" w:space="0" w:color="auto"/>
              <w:left w:val="nil"/>
              <w:bottom w:val="single" w:sz="2" w:space="0" w:color="auto"/>
              <w:right w:val="nil"/>
            </w:tcBorders>
            <w:vAlign w:val="center"/>
            <w:hideMark/>
          </w:tcPr>
          <w:p w:rsidR="003E1D6E" w:rsidRPr="008911DC" w:rsidRDefault="003E1D6E">
            <w:pPr>
              <w:spacing w:after="0"/>
              <w:rPr>
                <w:rFonts w:ascii="Times New Roman" w:eastAsia="Times New Roman" w:hAnsi="Times New Roman"/>
                <w:sz w:val="24"/>
                <w:szCs w:val="24"/>
              </w:rPr>
            </w:pPr>
          </w:p>
        </w:tc>
        <w:tc>
          <w:tcPr>
            <w:tcW w:w="2250" w:type="dxa"/>
            <w:tcBorders>
              <w:top w:val="nil"/>
              <w:left w:val="nil"/>
              <w:bottom w:val="single" w:sz="2" w:space="0" w:color="auto"/>
              <w:right w:val="nil"/>
            </w:tcBorders>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Lelaki</w:t>
            </w:r>
          </w:p>
        </w:tc>
        <w:tc>
          <w:tcPr>
            <w:tcW w:w="2340" w:type="dxa"/>
            <w:tcBorders>
              <w:top w:val="nil"/>
              <w:left w:val="nil"/>
              <w:bottom w:val="single" w:sz="2" w:space="0" w:color="auto"/>
              <w:right w:val="nil"/>
            </w:tcBorders>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Perempuan</w:t>
            </w:r>
          </w:p>
        </w:tc>
      </w:tr>
      <w:tr w:rsidR="008911DC" w:rsidRPr="008911DC" w:rsidTr="008911DC">
        <w:tc>
          <w:tcPr>
            <w:tcW w:w="2383" w:type="dxa"/>
            <w:tcBorders>
              <w:top w:val="single" w:sz="2" w:space="0" w:color="auto"/>
              <w:left w:val="nil"/>
              <w:bottom w:val="nil"/>
              <w:right w:val="nil"/>
            </w:tcBorders>
            <w:hideMark/>
          </w:tcPr>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Leukosit</w:t>
            </w:r>
          </w:p>
        </w:tc>
        <w:tc>
          <w:tcPr>
            <w:tcW w:w="2297" w:type="dxa"/>
            <w:tcBorders>
              <w:top w:val="single" w:sz="2" w:space="0" w:color="auto"/>
              <w:left w:val="nil"/>
              <w:bottom w:val="nil"/>
              <w:right w:val="nil"/>
            </w:tcBorders>
            <w:hideMark/>
          </w:tcPr>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Leukopenia</w:t>
            </w:r>
          </w:p>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Normal</w:t>
            </w:r>
          </w:p>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Leukositosis</w:t>
            </w:r>
          </w:p>
        </w:tc>
        <w:tc>
          <w:tcPr>
            <w:tcW w:w="2250" w:type="dxa"/>
            <w:tcBorders>
              <w:top w:val="single" w:sz="2" w:space="0" w:color="auto"/>
              <w:left w:val="nil"/>
              <w:bottom w:val="nil"/>
              <w:right w:val="nil"/>
            </w:tcBorders>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0</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0</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27</w:t>
            </w:r>
          </w:p>
        </w:tc>
        <w:tc>
          <w:tcPr>
            <w:tcW w:w="2340" w:type="dxa"/>
            <w:tcBorders>
              <w:top w:val="single" w:sz="2" w:space="0" w:color="auto"/>
              <w:left w:val="nil"/>
              <w:bottom w:val="nil"/>
              <w:right w:val="nil"/>
            </w:tcBorders>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0</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0</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14</w:t>
            </w:r>
          </w:p>
        </w:tc>
      </w:tr>
      <w:tr w:rsidR="008911DC" w:rsidRPr="008911DC" w:rsidTr="008911DC">
        <w:tc>
          <w:tcPr>
            <w:tcW w:w="2383" w:type="dxa"/>
            <w:hideMark/>
          </w:tcPr>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Hemoglobin</w:t>
            </w:r>
          </w:p>
        </w:tc>
        <w:tc>
          <w:tcPr>
            <w:tcW w:w="2297" w:type="dxa"/>
            <w:hideMark/>
          </w:tcPr>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Anemia Ringan</w:t>
            </w:r>
          </w:p>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Anemia Sedang</w:t>
            </w:r>
          </w:p>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Anemia Berat</w:t>
            </w:r>
          </w:p>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Normal</w:t>
            </w:r>
          </w:p>
        </w:tc>
        <w:tc>
          <w:tcPr>
            <w:tcW w:w="2250" w:type="dxa"/>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8</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11</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6</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2</w:t>
            </w:r>
          </w:p>
        </w:tc>
        <w:tc>
          <w:tcPr>
            <w:tcW w:w="2340" w:type="dxa"/>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0</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8</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6</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0</w:t>
            </w:r>
          </w:p>
        </w:tc>
      </w:tr>
      <w:tr w:rsidR="008911DC" w:rsidRPr="008911DC" w:rsidTr="008911DC">
        <w:tc>
          <w:tcPr>
            <w:tcW w:w="2383" w:type="dxa"/>
            <w:tcBorders>
              <w:top w:val="nil"/>
              <w:left w:val="nil"/>
              <w:bottom w:val="single" w:sz="12" w:space="0" w:color="auto"/>
              <w:right w:val="nil"/>
            </w:tcBorders>
            <w:hideMark/>
          </w:tcPr>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Trombosit</w:t>
            </w:r>
          </w:p>
        </w:tc>
        <w:tc>
          <w:tcPr>
            <w:tcW w:w="2297" w:type="dxa"/>
            <w:tcBorders>
              <w:top w:val="nil"/>
              <w:left w:val="nil"/>
              <w:bottom w:val="single" w:sz="12" w:space="0" w:color="auto"/>
              <w:right w:val="nil"/>
            </w:tcBorders>
            <w:hideMark/>
          </w:tcPr>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Trombositopenia</w:t>
            </w:r>
          </w:p>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Normal</w:t>
            </w:r>
          </w:p>
          <w:p w:rsidR="003E1D6E" w:rsidRPr="008911DC" w:rsidRDefault="003E1D6E">
            <w:pPr>
              <w:spacing w:after="0" w:line="360" w:lineRule="auto"/>
              <w:ind w:left="360"/>
              <w:rPr>
                <w:rFonts w:ascii="Times New Roman" w:eastAsia="Times New Roman" w:hAnsi="Times New Roman"/>
                <w:sz w:val="24"/>
                <w:szCs w:val="24"/>
              </w:rPr>
            </w:pPr>
            <w:r w:rsidRPr="008911DC">
              <w:rPr>
                <w:rFonts w:ascii="Times New Roman" w:eastAsia="Times New Roman" w:hAnsi="Times New Roman"/>
                <w:sz w:val="24"/>
                <w:szCs w:val="24"/>
              </w:rPr>
              <w:t>Trombositosis</w:t>
            </w:r>
          </w:p>
        </w:tc>
        <w:tc>
          <w:tcPr>
            <w:tcW w:w="2250" w:type="dxa"/>
            <w:tcBorders>
              <w:top w:val="nil"/>
              <w:left w:val="nil"/>
              <w:bottom w:val="single" w:sz="12" w:space="0" w:color="auto"/>
              <w:right w:val="nil"/>
            </w:tcBorders>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2</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18</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7</w:t>
            </w:r>
          </w:p>
        </w:tc>
        <w:tc>
          <w:tcPr>
            <w:tcW w:w="2340" w:type="dxa"/>
            <w:tcBorders>
              <w:top w:val="nil"/>
              <w:left w:val="nil"/>
              <w:bottom w:val="single" w:sz="12" w:space="0" w:color="auto"/>
              <w:right w:val="nil"/>
            </w:tcBorders>
            <w:hideMark/>
          </w:tcPr>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0</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4</w:t>
            </w:r>
          </w:p>
          <w:p w:rsidR="003E1D6E" w:rsidRPr="008911DC" w:rsidRDefault="003E1D6E">
            <w:pPr>
              <w:spacing w:after="0" w:line="360" w:lineRule="auto"/>
              <w:ind w:left="360"/>
              <w:jc w:val="center"/>
              <w:rPr>
                <w:rFonts w:ascii="Times New Roman" w:eastAsia="Times New Roman" w:hAnsi="Times New Roman"/>
                <w:sz w:val="24"/>
                <w:szCs w:val="24"/>
              </w:rPr>
            </w:pPr>
            <w:r w:rsidRPr="008911DC">
              <w:rPr>
                <w:rFonts w:ascii="Times New Roman" w:eastAsia="Times New Roman" w:hAnsi="Times New Roman"/>
                <w:sz w:val="24"/>
                <w:szCs w:val="24"/>
              </w:rPr>
              <w:t>10</w:t>
            </w:r>
          </w:p>
        </w:tc>
      </w:tr>
    </w:tbl>
    <w:p w:rsidR="00845FDF" w:rsidRPr="008911DC" w:rsidRDefault="00845FDF" w:rsidP="003E1D6E">
      <w:pPr>
        <w:spacing w:after="0" w:line="360" w:lineRule="auto"/>
        <w:ind w:firstLine="720"/>
        <w:jc w:val="both"/>
        <w:rPr>
          <w:rFonts w:ascii="Times New Roman" w:hAnsi="Times New Roman"/>
          <w:sz w:val="24"/>
          <w:szCs w:val="24"/>
        </w:rPr>
        <w:sectPr w:rsidR="00845FDF" w:rsidRPr="008911DC" w:rsidSect="00845FDF">
          <w:type w:val="continuous"/>
          <w:pgSz w:w="11907" w:h="16839" w:code="9"/>
          <w:pgMar w:top="1440" w:right="1701" w:bottom="1440" w:left="1701" w:header="720" w:footer="720" w:gutter="0"/>
          <w:cols w:space="720"/>
          <w:docGrid w:linePitch="360"/>
        </w:sectPr>
      </w:pPr>
    </w:p>
    <w:p w:rsidR="003E1D6E" w:rsidRPr="008911DC" w:rsidRDefault="003E1D6E" w:rsidP="003E1D6E">
      <w:pPr>
        <w:spacing w:after="0" w:line="360" w:lineRule="auto"/>
        <w:ind w:firstLine="720"/>
        <w:jc w:val="both"/>
        <w:rPr>
          <w:rFonts w:ascii="Times New Roman" w:hAnsi="Times New Roman"/>
          <w:sz w:val="24"/>
          <w:szCs w:val="24"/>
        </w:rPr>
      </w:pPr>
      <w:r w:rsidRPr="008911DC">
        <w:rPr>
          <w:rFonts w:ascii="Times New Roman" w:hAnsi="Times New Roman"/>
          <w:sz w:val="24"/>
          <w:szCs w:val="24"/>
        </w:rPr>
        <w:t>Dalam penelitian ini didapatkan rerata dan median leukosit sebesar 232,50 x 10</w:t>
      </w:r>
      <w:r w:rsidRPr="008911DC">
        <w:rPr>
          <w:rFonts w:ascii="Times New Roman" w:hAnsi="Times New Roman"/>
          <w:sz w:val="24"/>
          <w:szCs w:val="24"/>
          <w:vertAlign w:val="superscript"/>
        </w:rPr>
        <w:t>3</w:t>
      </w:r>
      <w:r w:rsidRPr="008911DC">
        <w:rPr>
          <w:rFonts w:ascii="Times New Roman" w:hAnsi="Times New Roman"/>
          <w:sz w:val="24"/>
          <w:szCs w:val="24"/>
        </w:rPr>
        <w:t xml:space="preserve"> sel/µl, dan 170,60 x 10</w:t>
      </w:r>
      <w:r w:rsidRPr="008911DC">
        <w:rPr>
          <w:rFonts w:ascii="Times New Roman" w:hAnsi="Times New Roman"/>
          <w:sz w:val="24"/>
          <w:szCs w:val="24"/>
          <w:vertAlign w:val="superscript"/>
        </w:rPr>
        <w:t>3</w:t>
      </w:r>
      <w:r w:rsidRPr="008911DC">
        <w:rPr>
          <w:rFonts w:ascii="Times New Roman" w:hAnsi="Times New Roman"/>
          <w:sz w:val="24"/>
          <w:szCs w:val="24"/>
        </w:rPr>
        <w:t xml:space="preserve"> sel/µl</w:t>
      </w:r>
      <w:r w:rsidRPr="008911DC">
        <w:rPr>
          <w:rFonts w:ascii="Times New Roman" w:eastAsia="Times New Roman" w:hAnsi="Times New Roman"/>
          <w:sz w:val="24"/>
          <w:szCs w:val="24"/>
        </w:rPr>
        <w:t xml:space="preserve"> ; rerata dan median hemoglobin sebesar 9,25 g/dl, dan 9,10 g/dl; rerata dan median trombosit sebesar 436,41 </w:t>
      </w:r>
      <w:r w:rsidRPr="008911DC">
        <w:rPr>
          <w:rFonts w:ascii="Times New Roman" w:hAnsi="Times New Roman"/>
          <w:sz w:val="24"/>
          <w:szCs w:val="24"/>
        </w:rPr>
        <w:t>x 10</w:t>
      </w:r>
      <w:r w:rsidRPr="008911DC">
        <w:rPr>
          <w:rFonts w:ascii="Times New Roman" w:hAnsi="Times New Roman"/>
          <w:sz w:val="24"/>
          <w:szCs w:val="24"/>
          <w:vertAlign w:val="superscript"/>
        </w:rPr>
        <w:t xml:space="preserve">3 </w:t>
      </w:r>
      <w:r w:rsidRPr="008911DC">
        <w:rPr>
          <w:rFonts w:ascii="Times New Roman" w:hAnsi="Times New Roman"/>
          <w:sz w:val="24"/>
          <w:szCs w:val="24"/>
        </w:rPr>
        <w:t>sel/µl</w:t>
      </w:r>
      <w:r w:rsidRPr="008911DC">
        <w:rPr>
          <w:rFonts w:ascii="Times New Roman" w:eastAsia="Times New Roman" w:hAnsi="Times New Roman"/>
          <w:sz w:val="24"/>
          <w:szCs w:val="24"/>
        </w:rPr>
        <w:t xml:space="preserve">, dan 336,00 </w:t>
      </w:r>
      <w:r w:rsidRPr="008911DC">
        <w:rPr>
          <w:rFonts w:ascii="Times New Roman" w:hAnsi="Times New Roman"/>
          <w:sz w:val="24"/>
          <w:szCs w:val="24"/>
        </w:rPr>
        <w:t>x 10</w:t>
      </w:r>
      <w:r w:rsidRPr="008911DC">
        <w:rPr>
          <w:rFonts w:ascii="Times New Roman" w:hAnsi="Times New Roman"/>
          <w:sz w:val="24"/>
          <w:szCs w:val="24"/>
          <w:vertAlign w:val="superscript"/>
        </w:rPr>
        <w:t>3</w:t>
      </w:r>
      <w:r w:rsidRPr="008911DC">
        <w:rPr>
          <w:rFonts w:ascii="Times New Roman" w:hAnsi="Times New Roman"/>
          <w:sz w:val="24"/>
          <w:szCs w:val="24"/>
        </w:rPr>
        <w:t xml:space="preserve"> sel/µl</w:t>
      </w:r>
      <w:r w:rsidRPr="008911DC">
        <w:rPr>
          <w:rFonts w:ascii="Times New Roman" w:eastAsia="Times New Roman" w:hAnsi="Times New Roman"/>
          <w:sz w:val="24"/>
          <w:szCs w:val="24"/>
        </w:rPr>
        <w:t>.</w:t>
      </w:r>
      <w:r w:rsidRPr="008911DC">
        <w:rPr>
          <w:rFonts w:ascii="Times New Roman" w:hAnsi="Times New Roman"/>
          <w:sz w:val="24"/>
          <w:szCs w:val="24"/>
        </w:rPr>
        <w:t xml:space="preserve"> </w:t>
      </w:r>
    </w:p>
    <w:p w:rsidR="003E1D6E" w:rsidRPr="008911DC" w:rsidRDefault="003E1D6E" w:rsidP="003E1D6E">
      <w:pPr>
        <w:spacing w:after="0" w:line="360" w:lineRule="auto"/>
        <w:ind w:firstLine="720"/>
        <w:jc w:val="both"/>
        <w:rPr>
          <w:rFonts w:ascii="Times New Roman" w:hAnsi="Times New Roman"/>
          <w:sz w:val="24"/>
          <w:szCs w:val="24"/>
        </w:rPr>
      </w:pPr>
      <w:r w:rsidRPr="008911DC">
        <w:rPr>
          <w:rFonts w:ascii="Times New Roman" w:hAnsi="Times New Roman"/>
          <w:sz w:val="24"/>
          <w:szCs w:val="24"/>
        </w:rPr>
        <w:t>Pada penelitian ini diketahui rerata jumlah leukosit melebihi batas normal sehingga seluruh pasien mengalami leukositosis. Berdasarkan tabel silang antara jenis kelamin dan kategori anemia sesuai ketentuan WHO, pada penelitian ini terdapat 8 perempuan mengalami anemia sedang dan 6 orang mengalami anemia berat. Dari 27 sampel lelaki 2 orang tidak mengalami anemia, 8 orang anemia ringan, 11 orang anemia sedang, dan 6 orang anemia berat.</w:t>
      </w:r>
    </w:p>
    <w:p w:rsidR="003E1D6E" w:rsidRPr="008911DC" w:rsidRDefault="003E1D6E" w:rsidP="003E1D6E">
      <w:pPr>
        <w:spacing w:after="0" w:line="360" w:lineRule="auto"/>
        <w:ind w:firstLine="720"/>
        <w:jc w:val="both"/>
        <w:rPr>
          <w:rFonts w:ascii="Times New Roman" w:hAnsi="Times New Roman"/>
          <w:sz w:val="24"/>
          <w:szCs w:val="24"/>
        </w:rPr>
      </w:pPr>
      <w:r w:rsidRPr="008911DC">
        <w:rPr>
          <w:rFonts w:ascii="Times New Roman" w:hAnsi="Times New Roman"/>
          <w:sz w:val="24"/>
          <w:szCs w:val="24"/>
        </w:rPr>
        <w:t xml:space="preserve"> Berdasarkan jumlah trombositnya 2 orang mengalami trombositopenia, 22 orang memiliki jumlah trombosit normal, dan 17 orang mengalami trombositosis. </w:t>
      </w:r>
    </w:p>
    <w:p w:rsidR="003E1D6E" w:rsidRPr="008911DC" w:rsidRDefault="003E1D6E" w:rsidP="003E1D6E">
      <w:pPr>
        <w:spacing w:after="0" w:line="360" w:lineRule="auto"/>
        <w:ind w:left="360" w:firstLine="720"/>
        <w:jc w:val="both"/>
        <w:rPr>
          <w:rFonts w:ascii="Times New Roman" w:eastAsia="Times New Roman" w:hAnsi="Times New Roman"/>
          <w:sz w:val="24"/>
          <w:szCs w:val="24"/>
        </w:rPr>
      </w:pPr>
    </w:p>
    <w:p w:rsidR="003E1D6E" w:rsidRPr="008911DC" w:rsidRDefault="003E1D6E" w:rsidP="00845FDF">
      <w:pPr>
        <w:pStyle w:val="ListParagraph"/>
        <w:spacing w:after="0" w:line="360" w:lineRule="auto"/>
        <w:ind w:left="0"/>
        <w:jc w:val="center"/>
        <w:rPr>
          <w:rFonts w:ascii="Times New Roman" w:hAnsi="Times New Roman"/>
          <w:sz w:val="24"/>
          <w:szCs w:val="24"/>
        </w:rPr>
      </w:pPr>
      <w:r w:rsidRPr="008911DC">
        <w:rPr>
          <w:rFonts w:ascii="Times New Roman" w:hAnsi="Times New Roman"/>
          <w:b/>
          <w:sz w:val="24"/>
          <w:szCs w:val="24"/>
        </w:rPr>
        <w:lastRenderedPageBreak/>
        <w:t>Tabel 6</w:t>
      </w:r>
      <w:r w:rsidR="008911DC">
        <w:rPr>
          <w:rFonts w:ascii="Times New Roman" w:hAnsi="Times New Roman"/>
          <w:b/>
          <w:sz w:val="24"/>
          <w:szCs w:val="24"/>
        </w:rPr>
        <w:t>.</w:t>
      </w:r>
      <w:r w:rsidRPr="008911DC">
        <w:rPr>
          <w:rFonts w:ascii="Times New Roman" w:hAnsi="Times New Roman"/>
          <w:b/>
          <w:sz w:val="24"/>
          <w:szCs w:val="24"/>
        </w:rPr>
        <w:t xml:space="preserve"> </w:t>
      </w:r>
      <w:r w:rsidRPr="008911DC">
        <w:rPr>
          <w:rFonts w:ascii="Times New Roman" w:hAnsi="Times New Roman"/>
          <w:sz w:val="24"/>
          <w:szCs w:val="24"/>
        </w:rPr>
        <w:t>BCR ABL Kualitatif Penderita LMK</w:t>
      </w:r>
    </w:p>
    <w:tbl>
      <w:tblPr>
        <w:tblW w:w="0" w:type="auto"/>
        <w:jc w:val="center"/>
        <w:tblLook w:val="04A0" w:firstRow="1" w:lastRow="0" w:firstColumn="1" w:lastColumn="0" w:noHBand="0" w:noVBand="1"/>
      </w:tblPr>
      <w:tblGrid>
        <w:gridCol w:w="2466"/>
        <w:gridCol w:w="1642"/>
      </w:tblGrid>
      <w:tr w:rsidR="008911DC" w:rsidRPr="008911DC" w:rsidTr="003E1D6E">
        <w:trPr>
          <w:jc w:val="center"/>
        </w:trPr>
        <w:tc>
          <w:tcPr>
            <w:tcW w:w="2610" w:type="dxa"/>
            <w:tcBorders>
              <w:top w:val="single" w:sz="12" w:space="0" w:color="auto"/>
              <w:left w:val="nil"/>
              <w:bottom w:val="single" w:sz="4"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BCR ABL kualitatif</w:t>
            </w:r>
          </w:p>
        </w:tc>
        <w:tc>
          <w:tcPr>
            <w:tcW w:w="1710" w:type="dxa"/>
            <w:tcBorders>
              <w:top w:val="single" w:sz="12" w:space="0" w:color="auto"/>
              <w:left w:val="nil"/>
              <w:bottom w:val="single" w:sz="4"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Kasus</w:t>
            </w:r>
          </w:p>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n=41</w:t>
            </w:r>
          </w:p>
        </w:tc>
      </w:tr>
      <w:tr w:rsidR="008911DC" w:rsidRPr="008911DC" w:rsidTr="003E1D6E">
        <w:trPr>
          <w:jc w:val="center"/>
        </w:trPr>
        <w:tc>
          <w:tcPr>
            <w:tcW w:w="2610" w:type="dxa"/>
            <w:tcBorders>
              <w:top w:val="single" w:sz="4" w:space="0" w:color="auto"/>
              <w:left w:val="nil"/>
              <w:bottom w:val="single" w:sz="4" w:space="0" w:color="FFFFFF"/>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Positif</w:t>
            </w:r>
          </w:p>
        </w:tc>
        <w:tc>
          <w:tcPr>
            <w:tcW w:w="1710" w:type="dxa"/>
            <w:tcBorders>
              <w:top w:val="single" w:sz="4" w:space="0" w:color="auto"/>
              <w:left w:val="nil"/>
              <w:bottom w:val="single" w:sz="4" w:space="0" w:color="FFFFFF"/>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35 (85</w:t>
            </w:r>
            <w:proofErr w:type="gramStart"/>
            <w:r w:rsidRPr="008911DC">
              <w:rPr>
                <w:rFonts w:ascii="Times New Roman" w:hAnsi="Times New Roman"/>
                <w:sz w:val="24"/>
                <w:szCs w:val="24"/>
              </w:rPr>
              <w:t>,4</w:t>
            </w:r>
            <w:proofErr w:type="gramEnd"/>
            <w:r w:rsidRPr="008911DC">
              <w:rPr>
                <w:rFonts w:ascii="Times New Roman" w:hAnsi="Times New Roman"/>
                <w:sz w:val="24"/>
                <w:szCs w:val="24"/>
              </w:rPr>
              <w:t>%)</w:t>
            </w:r>
          </w:p>
        </w:tc>
      </w:tr>
      <w:tr w:rsidR="008911DC" w:rsidRPr="008911DC" w:rsidTr="003E1D6E">
        <w:trPr>
          <w:jc w:val="center"/>
        </w:trPr>
        <w:tc>
          <w:tcPr>
            <w:tcW w:w="2610" w:type="dxa"/>
            <w:tcBorders>
              <w:top w:val="single" w:sz="4" w:space="0" w:color="FFFFFF"/>
              <w:left w:val="nil"/>
              <w:bottom w:val="single" w:sz="12"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 xml:space="preserve">Data kurang lengkap </w:t>
            </w:r>
          </w:p>
        </w:tc>
        <w:tc>
          <w:tcPr>
            <w:tcW w:w="1710" w:type="dxa"/>
            <w:tcBorders>
              <w:top w:val="single" w:sz="4" w:space="0" w:color="FFFFFF"/>
              <w:left w:val="nil"/>
              <w:bottom w:val="single" w:sz="12" w:space="0" w:color="auto"/>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6 (14</w:t>
            </w:r>
            <w:proofErr w:type="gramStart"/>
            <w:r w:rsidRPr="008911DC">
              <w:rPr>
                <w:rFonts w:ascii="Times New Roman" w:hAnsi="Times New Roman"/>
                <w:sz w:val="24"/>
                <w:szCs w:val="24"/>
              </w:rPr>
              <w:t>,6</w:t>
            </w:r>
            <w:proofErr w:type="gramEnd"/>
            <w:r w:rsidRPr="008911DC">
              <w:rPr>
                <w:rFonts w:ascii="Times New Roman" w:hAnsi="Times New Roman"/>
                <w:sz w:val="24"/>
                <w:szCs w:val="24"/>
              </w:rPr>
              <w:t>%)</w:t>
            </w:r>
          </w:p>
        </w:tc>
      </w:tr>
    </w:tbl>
    <w:p w:rsidR="003E1D6E" w:rsidRPr="008911DC" w:rsidRDefault="003E1D6E" w:rsidP="003E1D6E">
      <w:pPr>
        <w:spacing w:before="240" w:line="360" w:lineRule="auto"/>
        <w:ind w:firstLine="720"/>
        <w:jc w:val="both"/>
        <w:rPr>
          <w:rFonts w:ascii="Times New Roman" w:hAnsi="Times New Roman"/>
          <w:sz w:val="24"/>
          <w:szCs w:val="24"/>
        </w:rPr>
      </w:pPr>
      <w:r w:rsidRPr="008911DC">
        <w:rPr>
          <w:rFonts w:ascii="Times New Roman" w:hAnsi="Times New Roman"/>
          <w:sz w:val="24"/>
          <w:szCs w:val="24"/>
        </w:rPr>
        <w:t>Sebagian besar penderita LMK memiliki hasil positif pada pemeriksaan BCR ABL kualitatifnya, yaitu 35 orang (85</w:t>
      </w:r>
      <w:proofErr w:type="gramStart"/>
      <w:r w:rsidRPr="008911DC">
        <w:rPr>
          <w:rFonts w:ascii="Times New Roman" w:hAnsi="Times New Roman"/>
          <w:sz w:val="24"/>
          <w:szCs w:val="24"/>
        </w:rPr>
        <w:t>,4</w:t>
      </w:r>
      <w:proofErr w:type="gramEnd"/>
      <w:r w:rsidRPr="008911DC">
        <w:rPr>
          <w:rFonts w:ascii="Times New Roman" w:hAnsi="Times New Roman"/>
          <w:sz w:val="24"/>
          <w:szCs w:val="24"/>
        </w:rPr>
        <w:t>%).</w:t>
      </w:r>
    </w:p>
    <w:p w:rsidR="003E1D6E" w:rsidRPr="008911DC" w:rsidRDefault="003E1D6E" w:rsidP="00845FDF">
      <w:pPr>
        <w:pStyle w:val="ListParagraph"/>
        <w:spacing w:after="0" w:line="360" w:lineRule="auto"/>
        <w:ind w:left="0"/>
        <w:jc w:val="center"/>
        <w:rPr>
          <w:rFonts w:ascii="Times New Roman" w:hAnsi="Times New Roman"/>
          <w:sz w:val="24"/>
          <w:szCs w:val="24"/>
        </w:rPr>
      </w:pPr>
      <w:r w:rsidRPr="008911DC">
        <w:rPr>
          <w:rFonts w:ascii="Times New Roman" w:hAnsi="Times New Roman"/>
          <w:b/>
          <w:sz w:val="24"/>
          <w:szCs w:val="24"/>
        </w:rPr>
        <w:t>Tabel 7</w:t>
      </w:r>
      <w:r w:rsidR="008911DC">
        <w:rPr>
          <w:rFonts w:ascii="Times New Roman" w:hAnsi="Times New Roman"/>
          <w:b/>
          <w:sz w:val="24"/>
          <w:szCs w:val="24"/>
        </w:rPr>
        <w:t>.</w:t>
      </w:r>
      <w:r w:rsidRPr="008911DC">
        <w:rPr>
          <w:rFonts w:ascii="Times New Roman" w:hAnsi="Times New Roman"/>
          <w:b/>
          <w:sz w:val="24"/>
          <w:szCs w:val="24"/>
        </w:rPr>
        <w:t xml:space="preserve"> </w:t>
      </w:r>
      <w:r w:rsidRPr="008911DC">
        <w:rPr>
          <w:rFonts w:ascii="Times New Roman" w:hAnsi="Times New Roman"/>
          <w:sz w:val="24"/>
          <w:szCs w:val="24"/>
        </w:rPr>
        <w:t>Riwayat Pengobatan yang Pernah Diberikan Pada Sampel LMK</w:t>
      </w:r>
    </w:p>
    <w:tbl>
      <w:tblPr>
        <w:tblW w:w="0" w:type="auto"/>
        <w:jc w:val="center"/>
        <w:tblLook w:val="04A0" w:firstRow="1" w:lastRow="0" w:firstColumn="1" w:lastColumn="0" w:noHBand="0" w:noVBand="1"/>
      </w:tblPr>
      <w:tblGrid>
        <w:gridCol w:w="2301"/>
        <w:gridCol w:w="1807"/>
      </w:tblGrid>
      <w:tr w:rsidR="008911DC" w:rsidRPr="008911DC" w:rsidTr="003E1D6E">
        <w:trPr>
          <w:jc w:val="center"/>
        </w:trPr>
        <w:tc>
          <w:tcPr>
            <w:tcW w:w="4016" w:type="dxa"/>
            <w:tcBorders>
              <w:top w:val="single" w:sz="12" w:space="0" w:color="auto"/>
              <w:left w:val="nil"/>
              <w:bottom w:val="single" w:sz="4"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Riwayat pengobatan</w:t>
            </w:r>
          </w:p>
        </w:tc>
        <w:tc>
          <w:tcPr>
            <w:tcW w:w="3922" w:type="dxa"/>
            <w:tcBorders>
              <w:top w:val="single" w:sz="12" w:space="0" w:color="auto"/>
              <w:left w:val="nil"/>
              <w:bottom w:val="single" w:sz="4"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Kasus</w:t>
            </w:r>
          </w:p>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n=41</w:t>
            </w:r>
          </w:p>
        </w:tc>
      </w:tr>
      <w:tr w:rsidR="008911DC" w:rsidRPr="008911DC" w:rsidTr="003E1D6E">
        <w:trPr>
          <w:jc w:val="center"/>
        </w:trPr>
        <w:tc>
          <w:tcPr>
            <w:tcW w:w="4016" w:type="dxa"/>
            <w:tcBorders>
              <w:top w:val="single" w:sz="4" w:space="0" w:color="auto"/>
              <w:left w:val="nil"/>
              <w:bottom w:val="single" w:sz="4" w:space="0" w:color="FFFFFF"/>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TKI (Imatinib)</w:t>
            </w:r>
          </w:p>
        </w:tc>
        <w:tc>
          <w:tcPr>
            <w:tcW w:w="3922" w:type="dxa"/>
            <w:tcBorders>
              <w:top w:val="single" w:sz="4" w:space="0" w:color="auto"/>
              <w:left w:val="nil"/>
              <w:bottom w:val="single" w:sz="4" w:space="0" w:color="FFFFFF"/>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13 (31</w:t>
            </w:r>
            <w:proofErr w:type="gramStart"/>
            <w:r w:rsidRPr="008911DC">
              <w:rPr>
                <w:rFonts w:ascii="Times New Roman" w:hAnsi="Times New Roman"/>
                <w:sz w:val="24"/>
                <w:szCs w:val="24"/>
              </w:rPr>
              <w:t>,7</w:t>
            </w:r>
            <w:proofErr w:type="gramEnd"/>
            <w:r w:rsidRPr="008911DC">
              <w:rPr>
                <w:rFonts w:ascii="Times New Roman" w:hAnsi="Times New Roman"/>
                <w:sz w:val="24"/>
                <w:szCs w:val="24"/>
              </w:rPr>
              <w:t>%)</w:t>
            </w:r>
          </w:p>
        </w:tc>
      </w:tr>
      <w:tr w:rsidR="008911DC" w:rsidRPr="008911DC" w:rsidTr="003E1D6E">
        <w:trPr>
          <w:jc w:val="center"/>
        </w:trPr>
        <w:tc>
          <w:tcPr>
            <w:tcW w:w="4016"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NON TKI (Hydroxyurea)</w:t>
            </w:r>
          </w:p>
        </w:tc>
        <w:tc>
          <w:tcPr>
            <w:tcW w:w="3922" w:type="dxa"/>
            <w:tcBorders>
              <w:top w:val="single" w:sz="4" w:space="0" w:color="FFFFFF"/>
              <w:left w:val="nil"/>
              <w:bottom w:val="single" w:sz="4" w:space="0" w:color="FFFFFF"/>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6 (14</w:t>
            </w:r>
            <w:proofErr w:type="gramStart"/>
            <w:r w:rsidRPr="008911DC">
              <w:rPr>
                <w:rFonts w:ascii="Times New Roman" w:hAnsi="Times New Roman"/>
                <w:sz w:val="24"/>
                <w:szCs w:val="24"/>
              </w:rPr>
              <w:t>,6</w:t>
            </w:r>
            <w:proofErr w:type="gramEnd"/>
            <w:r w:rsidRPr="008911DC">
              <w:rPr>
                <w:rFonts w:ascii="Times New Roman" w:hAnsi="Times New Roman"/>
                <w:sz w:val="24"/>
                <w:szCs w:val="24"/>
              </w:rPr>
              <w:t>%)</w:t>
            </w:r>
          </w:p>
        </w:tc>
      </w:tr>
      <w:tr w:rsidR="008911DC" w:rsidRPr="008911DC" w:rsidTr="003E1D6E">
        <w:trPr>
          <w:jc w:val="center"/>
        </w:trPr>
        <w:tc>
          <w:tcPr>
            <w:tcW w:w="4016" w:type="dxa"/>
            <w:tcBorders>
              <w:top w:val="single" w:sz="4" w:space="0" w:color="FFFFFF"/>
              <w:left w:val="nil"/>
              <w:bottom w:val="single" w:sz="12" w:space="0" w:color="auto"/>
              <w:right w:val="nil"/>
            </w:tcBorders>
            <w:hideMark/>
          </w:tcPr>
          <w:p w:rsidR="003E1D6E" w:rsidRPr="008911DC" w:rsidRDefault="003E1D6E" w:rsidP="00845FDF">
            <w:pPr>
              <w:spacing w:after="0" w:line="360" w:lineRule="auto"/>
              <w:rPr>
                <w:rFonts w:ascii="Times New Roman" w:hAnsi="Times New Roman"/>
                <w:bCs/>
                <w:sz w:val="24"/>
                <w:szCs w:val="24"/>
              </w:rPr>
            </w:pPr>
            <w:r w:rsidRPr="008911DC">
              <w:rPr>
                <w:rFonts w:ascii="Times New Roman" w:hAnsi="Times New Roman"/>
                <w:bCs/>
                <w:sz w:val="24"/>
                <w:szCs w:val="24"/>
              </w:rPr>
              <w:t>Keduanya (Imatinib dan Hydroxyurea)</w:t>
            </w:r>
          </w:p>
        </w:tc>
        <w:tc>
          <w:tcPr>
            <w:tcW w:w="3922" w:type="dxa"/>
            <w:tcBorders>
              <w:top w:val="single" w:sz="4" w:space="0" w:color="FFFFFF"/>
              <w:left w:val="nil"/>
              <w:bottom w:val="single" w:sz="12" w:space="0" w:color="auto"/>
              <w:right w:val="nil"/>
            </w:tcBorders>
            <w:hideMark/>
          </w:tcPr>
          <w:p w:rsidR="003E1D6E" w:rsidRPr="008911DC" w:rsidRDefault="003E1D6E" w:rsidP="00845FDF">
            <w:pPr>
              <w:spacing w:after="0" w:line="360" w:lineRule="auto"/>
              <w:rPr>
                <w:rFonts w:ascii="Times New Roman" w:hAnsi="Times New Roman"/>
                <w:sz w:val="24"/>
                <w:szCs w:val="24"/>
              </w:rPr>
            </w:pPr>
            <w:r w:rsidRPr="008911DC">
              <w:rPr>
                <w:rFonts w:ascii="Times New Roman" w:hAnsi="Times New Roman"/>
                <w:sz w:val="24"/>
                <w:szCs w:val="24"/>
              </w:rPr>
              <w:t>22 (53</w:t>
            </w:r>
            <w:proofErr w:type="gramStart"/>
            <w:r w:rsidRPr="008911DC">
              <w:rPr>
                <w:rFonts w:ascii="Times New Roman" w:hAnsi="Times New Roman"/>
                <w:sz w:val="24"/>
                <w:szCs w:val="24"/>
              </w:rPr>
              <w:t>,7</w:t>
            </w:r>
            <w:proofErr w:type="gramEnd"/>
            <w:r w:rsidRPr="008911DC">
              <w:rPr>
                <w:rFonts w:ascii="Times New Roman" w:hAnsi="Times New Roman"/>
                <w:sz w:val="24"/>
                <w:szCs w:val="24"/>
              </w:rPr>
              <w:t>%)</w:t>
            </w:r>
          </w:p>
        </w:tc>
      </w:tr>
    </w:tbl>
    <w:p w:rsidR="00845FDF" w:rsidRPr="008911DC" w:rsidRDefault="003E1D6E" w:rsidP="008911DC">
      <w:pPr>
        <w:spacing w:before="240" w:line="360" w:lineRule="auto"/>
        <w:ind w:firstLine="720"/>
        <w:jc w:val="both"/>
        <w:rPr>
          <w:rFonts w:ascii="Times New Roman" w:hAnsi="Times New Roman"/>
          <w:sz w:val="24"/>
          <w:szCs w:val="24"/>
        </w:rPr>
      </w:pPr>
      <w:r w:rsidRPr="008911DC">
        <w:rPr>
          <w:rFonts w:ascii="Times New Roman" w:hAnsi="Times New Roman"/>
          <w:sz w:val="24"/>
          <w:szCs w:val="24"/>
        </w:rPr>
        <w:t xml:space="preserve">Riwayat pengobatan yang pernah diberikan pada penderita LMK berdasarkan rekam medis pasien meliputi TKI saja sejumlah 13 orang (31,7%), NON TKI saja sejumlah 6 orang (14,6%), dan keduanya (TKI dan NON TKI) sejumlah 22 orang (53,7%). </w:t>
      </w:r>
    </w:p>
    <w:p w:rsidR="003E1D6E" w:rsidRDefault="003E1D6E" w:rsidP="003E1D6E">
      <w:pPr>
        <w:spacing w:after="0" w:line="360" w:lineRule="auto"/>
        <w:jc w:val="both"/>
        <w:rPr>
          <w:rFonts w:ascii="Times New Roman" w:hAnsi="Times New Roman"/>
          <w:b/>
          <w:sz w:val="24"/>
          <w:szCs w:val="24"/>
        </w:rPr>
      </w:pPr>
      <w:r>
        <w:rPr>
          <w:rFonts w:ascii="Times New Roman" w:hAnsi="Times New Roman"/>
          <w:b/>
          <w:sz w:val="24"/>
          <w:szCs w:val="24"/>
        </w:rPr>
        <w:t>PEMBAHASAN</w:t>
      </w:r>
    </w:p>
    <w:p w:rsidR="003E1D6E" w:rsidRDefault="003E1D6E" w:rsidP="003E1D6E">
      <w:pPr>
        <w:pStyle w:val="ListParagraph"/>
        <w:numPr>
          <w:ilvl w:val="0"/>
          <w:numId w:val="8"/>
        </w:numPr>
        <w:spacing w:line="360" w:lineRule="auto"/>
        <w:ind w:left="360"/>
        <w:rPr>
          <w:rFonts w:ascii="Times New Roman" w:hAnsi="Times New Roman"/>
          <w:sz w:val="24"/>
          <w:szCs w:val="24"/>
        </w:rPr>
      </w:pPr>
      <w:r>
        <w:rPr>
          <w:rFonts w:ascii="Times New Roman" w:hAnsi="Times New Roman"/>
          <w:sz w:val="24"/>
          <w:szCs w:val="24"/>
        </w:rPr>
        <w:t>Jenis kelamin</w:t>
      </w:r>
    </w:p>
    <w:p w:rsidR="003E1D6E" w:rsidRDefault="003E1D6E" w:rsidP="003E1D6E">
      <w:pPr>
        <w:pStyle w:val="ListParagraph"/>
        <w:spacing w:line="360" w:lineRule="auto"/>
        <w:ind w:left="360" w:firstLine="720"/>
        <w:jc w:val="both"/>
        <w:rPr>
          <w:rFonts w:ascii="Times New Roman" w:eastAsia="Times New Roman" w:hAnsi="Times New Roman"/>
          <w:sz w:val="24"/>
          <w:szCs w:val="24"/>
        </w:rPr>
      </w:pPr>
      <w:r>
        <w:rPr>
          <w:rFonts w:ascii="Times New Roman" w:eastAsia="Times New Roman" w:hAnsi="Times New Roman"/>
          <w:sz w:val="24"/>
          <w:szCs w:val="24"/>
        </w:rPr>
        <w:t xml:space="preserve">Penderita LMK dominan berjenis kelamin lelaki. Hasil tersebut serupa dengan penelitian </w:t>
      </w:r>
      <w:r>
        <w:rPr>
          <w:rFonts w:ascii="Times New Roman" w:eastAsia="Times New Roman" w:hAnsi="Times New Roman"/>
          <w:sz w:val="24"/>
          <w:szCs w:val="24"/>
        </w:rPr>
        <w:lastRenderedPageBreak/>
        <w:t>milik Reksodiputro A H dkk, yang menyatakan 12 dari 19 sampelnya berjenis kelamin lelaki.</w:t>
      </w:r>
      <w:r>
        <w:rPr>
          <w:rFonts w:ascii="Times New Roman" w:eastAsia="Times New Roman" w:hAnsi="Times New Roman"/>
          <w:sz w:val="24"/>
          <w:szCs w:val="24"/>
          <w:vertAlign w:val="superscript"/>
        </w:rPr>
        <w:t>5</w:t>
      </w:r>
      <w:r>
        <w:rPr>
          <w:rFonts w:ascii="Times New Roman" w:eastAsia="Times New Roman" w:hAnsi="Times New Roman"/>
          <w:sz w:val="24"/>
          <w:szCs w:val="24"/>
        </w:rPr>
        <w:t xml:space="preserve"> </w:t>
      </w:r>
    </w:p>
    <w:p w:rsidR="003E1D6E" w:rsidRDefault="003E1D6E" w:rsidP="003E1D6E">
      <w:pPr>
        <w:pStyle w:val="ListParagraph"/>
        <w:spacing w:line="360" w:lineRule="auto"/>
        <w:ind w:left="360" w:firstLine="720"/>
        <w:jc w:val="both"/>
        <w:rPr>
          <w:rFonts w:ascii="Times New Roman" w:eastAsia="Times New Roman" w:hAnsi="Times New Roman"/>
          <w:sz w:val="24"/>
          <w:szCs w:val="24"/>
        </w:rPr>
      </w:pPr>
      <w:r>
        <w:rPr>
          <w:rFonts w:ascii="Times New Roman" w:eastAsia="Times New Roman" w:hAnsi="Times New Roman"/>
          <w:sz w:val="24"/>
          <w:szCs w:val="24"/>
        </w:rPr>
        <w:t>Demikian pula Au WY yang menyatakan, ratio lelaki dan perempuan penderita CML di Thailand adalah 1</w:t>
      </w:r>
      <w:proofErr w:type="gramStart"/>
      <w:r>
        <w:rPr>
          <w:rFonts w:ascii="Times New Roman" w:eastAsia="Times New Roman" w:hAnsi="Times New Roman"/>
          <w:sz w:val="24"/>
          <w:szCs w:val="24"/>
        </w:rPr>
        <w:t>,7</w:t>
      </w:r>
      <w:proofErr w:type="gramEnd"/>
      <w:r>
        <w:rPr>
          <w:rFonts w:ascii="Times New Roman" w:eastAsia="Times New Roman" w:hAnsi="Times New Roman"/>
          <w:sz w:val="24"/>
          <w:szCs w:val="24"/>
        </w:rPr>
        <w:t xml:space="preserve"> : 1.</w:t>
      </w:r>
      <w:r>
        <w:rPr>
          <w:rFonts w:ascii="Times New Roman" w:eastAsia="Times New Roman" w:hAnsi="Times New Roman"/>
          <w:sz w:val="24"/>
          <w:szCs w:val="24"/>
          <w:vertAlign w:val="superscript"/>
        </w:rPr>
        <w:t>6</w:t>
      </w:r>
      <w:r>
        <w:rPr>
          <w:rFonts w:ascii="Times New Roman" w:eastAsia="Times New Roman" w:hAnsi="Times New Roman"/>
          <w:sz w:val="24"/>
          <w:szCs w:val="24"/>
        </w:rPr>
        <w:t xml:space="preserve"> </w:t>
      </w:r>
    </w:p>
    <w:p w:rsidR="003E1D6E" w:rsidRDefault="003E1D6E" w:rsidP="003E1D6E">
      <w:pPr>
        <w:pStyle w:val="ListParagraph"/>
        <w:spacing w:line="360" w:lineRule="auto"/>
        <w:ind w:left="360" w:firstLine="720"/>
        <w:jc w:val="both"/>
        <w:rPr>
          <w:rFonts w:ascii="Times New Roman" w:hAnsi="Times New Roman"/>
          <w:sz w:val="24"/>
          <w:szCs w:val="24"/>
        </w:rPr>
      </w:pPr>
      <w:r>
        <w:rPr>
          <w:rFonts w:ascii="Times New Roman" w:eastAsia="Times New Roman" w:hAnsi="Times New Roman"/>
          <w:sz w:val="24"/>
          <w:szCs w:val="24"/>
        </w:rPr>
        <w:t xml:space="preserve">Hal tersebut juga didukung oleh SEER </w:t>
      </w:r>
      <w:r>
        <w:rPr>
          <w:rFonts w:ascii="Times New Roman" w:hAnsi="Times New Roman"/>
          <w:sz w:val="24"/>
          <w:szCs w:val="24"/>
        </w:rPr>
        <w:t>(</w:t>
      </w:r>
      <w:r>
        <w:rPr>
          <w:rFonts w:ascii="Times New Roman" w:hAnsi="Times New Roman"/>
          <w:i/>
          <w:sz w:val="24"/>
          <w:szCs w:val="24"/>
        </w:rPr>
        <w:t>Surveillance, Epidemiology, and End Results</w:t>
      </w:r>
      <w:r>
        <w:rPr>
          <w:rFonts w:ascii="Times New Roman" w:hAnsi="Times New Roman"/>
          <w:sz w:val="24"/>
          <w:szCs w:val="24"/>
        </w:rPr>
        <w:t>) USA yang menyatakan bahwa dari seluruh ras, ratio lelaki dan perempuan yang menderita CML adalah 2</w:t>
      </w:r>
      <w:proofErr w:type="gramStart"/>
      <w:r>
        <w:rPr>
          <w:rFonts w:ascii="Times New Roman" w:hAnsi="Times New Roman"/>
          <w:sz w:val="24"/>
          <w:szCs w:val="24"/>
        </w:rPr>
        <w:t>,2</w:t>
      </w:r>
      <w:proofErr w:type="gramEnd"/>
      <w:r>
        <w:rPr>
          <w:rFonts w:ascii="Times New Roman" w:hAnsi="Times New Roman"/>
          <w:sz w:val="24"/>
          <w:szCs w:val="24"/>
        </w:rPr>
        <w:t xml:space="preserve"> : 1,3.</w:t>
      </w:r>
      <w:r>
        <w:rPr>
          <w:rFonts w:ascii="Times New Roman" w:hAnsi="Times New Roman"/>
          <w:sz w:val="24"/>
          <w:szCs w:val="24"/>
          <w:vertAlign w:val="superscript"/>
        </w:rPr>
        <w:t>2</w:t>
      </w:r>
    </w:p>
    <w:p w:rsidR="003E1D6E" w:rsidRPr="00845FDF" w:rsidRDefault="003E1D6E" w:rsidP="003E1D6E">
      <w:pPr>
        <w:pStyle w:val="ListParagraph"/>
        <w:numPr>
          <w:ilvl w:val="0"/>
          <w:numId w:val="8"/>
        </w:numPr>
        <w:spacing w:line="360" w:lineRule="auto"/>
        <w:ind w:left="360"/>
        <w:rPr>
          <w:rFonts w:ascii="Times New Roman" w:hAnsi="Times New Roman"/>
          <w:sz w:val="24"/>
          <w:szCs w:val="24"/>
        </w:rPr>
      </w:pPr>
      <w:r w:rsidRPr="00845FDF">
        <w:rPr>
          <w:rFonts w:ascii="Times New Roman" w:hAnsi="Times New Roman"/>
          <w:sz w:val="24"/>
          <w:szCs w:val="24"/>
        </w:rPr>
        <w:t>Umur</w:t>
      </w:r>
    </w:p>
    <w:p w:rsidR="003E1D6E" w:rsidRDefault="003E1D6E" w:rsidP="003E1D6E">
      <w:pPr>
        <w:pStyle w:val="ListParagraph"/>
        <w:spacing w:line="360" w:lineRule="auto"/>
        <w:ind w:left="360" w:firstLine="720"/>
        <w:jc w:val="both"/>
        <w:rPr>
          <w:rFonts w:ascii="Times New Roman" w:hAnsi="Times New Roman"/>
        </w:rPr>
      </w:pPr>
      <w:r>
        <w:rPr>
          <w:rFonts w:ascii="Times New Roman" w:eastAsia="Times New Roman" w:hAnsi="Times New Roman"/>
          <w:sz w:val="24"/>
          <w:szCs w:val="24"/>
        </w:rPr>
        <w:t xml:space="preserve">Pada penelitian yang dilakukan oleh </w:t>
      </w:r>
      <w:r>
        <w:rPr>
          <w:rFonts w:ascii="Times New Roman" w:hAnsi="Times New Roman"/>
          <w:sz w:val="24"/>
          <w:szCs w:val="24"/>
        </w:rPr>
        <w:t>Reksodiputro A H</w:t>
      </w:r>
      <w:r>
        <w:rPr>
          <w:rFonts w:ascii="Times New Roman" w:eastAsia="Times New Roman" w:hAnsi="Times New Roman"/>
          <w:sz w:val="24"/>
          <w:szCs w:val="24"/>
        </w:rPr>
        <w:t xml:space="preserve"> dkk didapatkan umur penderita LMK yang lebih muda, yaitu pada rentang umur 13-62 tahun.</w:t>
      </w:r>
      <w:r>
        <w:rPr>
          <w:rFonts w:ascii="Times New Roman" w:eastAsia="Times New Roman" w:hAnsi="Times New Roman"/>
          <w:sz w:val="24"/>
          <w:szCs w:val="24"/>
          <w:vertAlign w:val="superscript"/>
        </w:rPr>
        <w:t>5</w:t>
      </w:r>
      <w:r>
        <w:rPr>
          <w:rFonts w:ascii="Times New Roman" w:eastAsia="Times New Roman" w:hAnsi="Times New Roman"/>
          <w:sz w:val="24"/>
          <w:szCs w:val="24"/>
        </w:rPr>
        <w:t xml:space="preserve"> Sedangkan </w:t>
      </w:r>
      <w:r>
        <w:rPr>
          <w:rFonts w:ascii="Times New Roman" w:eastAsia="Times New Roman" w:hAnsi="Times New Roman"/>
          <w:i/>
          <w:sz w:val="24"/>
          <w:szCs w:val="24"/>
        </w:rPr>
        <w:t>Leukemia &amp; Lymphoma Society Guideline</w:t>
      </w:r>
      <w:r>
        <w:rPr>
          <w:rFonts w:ascii="Times New Roman" w:eastAsia="Times New Roman" w:hAnsi="Times New Roman"/>
          <w:sz w:val="24"/>
          <w:szCs w:val="24"/>
        </w:rPr>
        <w:t>, yang menyatakan bahwa biasanya LMK terjadi pada umur 66 tahun.</w:t>
      </w:r>
      <w:r>
        <w:rPr>
          <w:rFonts w:ascii="Times New Roman" w:eastAsia="Times New Roman" w:hAnsi="Times New Roman"/>
          <w:sz w:val="24"/>
          <w:szCs w:val="24"/>
          <w:vertAlign w:val="superscript"/>
        </w:rPr>
        <w:t>4</w:t>
      </w:r>
    </w:p>
    <w:p w:rsidR="003E1D6E" w:rsidRDefault="003E1D6E" w:rsidP="003E1D6E">
      <w:pPr>
        <w:pStyle w:val="ListParagraph"/>
        <w:spacing w:line="360" w:lineRule="auto"/>
        <w:ind w:left="360" w:firstLine="720"/>
        <w:jc w:val="both"/>
        <w:rPr>
          <w:rFonts w:ascii="Times New Roman" w:hAnsi="Times New Roman"/>
          <w:sz w:val="24"/>
          <w:szCs w:val="24"/>
        </w:rPr>
      </w:pPr>
      <w:r>
        <w:rPr>
          <w:rFonts w:ascii="Times New Roman" w:hAnsi="Times New Roman"/>
          <w:sz w:val="24"/>
          <w:szCs w:val="24"/>
        </w:rPr>
        <w:t xml:space="preserve">Perbedaan ini kemungkinan disebabkan oleh beberapa factor antara lain jumlah sampel, umur keseluruhan sampel pada tiap penelitian, dan perbedaan angka harapan hidup. </w:t>
      </w:r>
    </w:p>
    <w:p w:rsidR="003E1D6E" w:rsidRDefault="003E1D6E" w:rsidP="003E1D6E">
      <w:pPr>
        <w:pStyle w:val="ListParagraph"/>
        <w:spacing w:line="360" w:lineRule="auto"/>
        <w:ind w:left="360" w:firstLine="720"/>
        <w:jc w:val="both"/>
        <w:rPr>
          <w:rFonts w:ascii="Times New Roman" w:eastAsia="Times New Roman" w:hAnsi="Times New Roman"/>
          <w:sz w:val="24"/>
          <w:szCs w:val="24"/>
        </w:rPr>
      </w:pPr>
      <w:r>
        <w:rPr>
          <w:rFonts w:ascii="Times New Roman" w:eastAsia="Times New Roman" w:hAnsi="Times New Roman"/>
          <w:color w:val="000000"/>
          <w:sz w:val="24"/>
          <w:szCs w:val="24"/>
        </w:rPr>
        <w:t>M</w:t>
      </w:r>
      <w:r>
        <w:rPr>
          <w:rFonts w:ascii="Times New Roman" w:eastAsia="Times New Roman" w:hAnsi="Times New Roman"/>
          <w:sz w:val="24"/>
          <w:szCs w:val="24"/>
        </w:rPr>
        <w:t xml:space="preserve">asih belum diketahui pasti asosiasi antara umur dan mutasi gen BCR ABL. Faktor umur dengan disfungsi imun atau perubahan </w:t>
      </w:r>
      <w:r>
        <w:rPr>
          <w:rFonts w:ascii="Times New Roman" w:eastAsia="Times New Roman" w:hAnsi="Times New Roman"/>
          <w:sz w:val="24"/>
          <w:szCs w:val="24"/>
        </w:rPr>
        <w:lastRenderedPageBreak/>
        <w:t>hematopoietik kemungkinan berhubungan dengan progresifitas penyakit.</w:t>
      </w:r>
      <w:r>
        <w:rPr>
          <w:rFonts w:ascii="Times New Roman" w:eastAsia="Times New Roman" w:hAnsi="Times New Roman"/>
          <w:sz w:val="24"/>
          <w:szCs w:val="24"/>
          <w:vertAlign w:val="superscript"/>
        </w:rPr>
        <w:t>7</w:t>
      </w:r>
    </w:p>
    <w:p w:rsidR="003E1D6E" w:rsidRPr="00845FDF" w:rsidRDefault="003E1D6E" w:rsidP="003E1D6E">
      <w:pPr>
        <w:pStyle w:val="ListParagraph"/>
        <w:numPr>
          <w:ilvl w:val="0"/>
          <w:numId w:val="8"/>
        </w:numPr>
        <w:spacing w:line="360" w:lineRule="auto"/>
        <w:ind w:left="360"/>
        <w:rPr>
          <w:rFonts w:ascii="Times New Roman" w:hAnsi="Times New Roman"/>
          <w:sz w:val="24"/>
          <w:szCs w:val="24"/>
        </w:rPr>
      </w:pPr>
      <w:r w:rsidRPr="00845FDF">
        <w:rPr>
          <w:rFonts w:ascii="Times New Roman" w:hAnsi="Times New Roman"/>
          <w:sz w:val="24"/>
          <w:szCs w:val="24"/>
        </w:rPr>
        <w:t>Fase LMK</w:t>
      </w:r>
    </w:p>
    <w:p w:rsidR="003E1D6E" w:rsidRDefault="003E1D6E" w:rsidP="003E1D6E">
      <w:pPr>
        <w:pStyle w:val="ListParagraph"/>
        <w:spacing w:line="360" w:lineRule="auto"/>
        <w:ind w:left="360" w:firstLine="720"/>
        <w:jc w:val="both"/>
        <w:rPr>
          <w:rFonts w:ascii="Times New Roman" w:hAnsi="Times New Roman"/>
          <w:color w:val="000000"/>
          <w:sz w:val="24"/>
          <w:szCs w:val="24"/>
        </w:rPr>
      </w:pPr>
      <w:r>
        <w:rPr>
          <w:rFonts w:ascii="Times New Roman" w:hAnsi="Times New Roman"/>
          <w:sz w:val="24"/>
          <w:szCs w:val="24"/>
        </w:rPr>
        <w:t>Hampir seluruh pasien</w:t>
      </w:r>
      <w:r w:rsidR="008911DC">
        <w:rPr>
          <w:rFonts w:ascii="Times New Roman" w:hAnsi="Times New Roman"/>
          <w:sz w:val="24"/>
          <w:szCs w:val="24"/>
        </w:rPr>
        <w:t xml:space="preserve"> LMK</w:t>
      </w:r>
      <w:r w:rsidR="00B31DAA">
        <w:rPr>
          <w:rFonts w:ascii="Times New Roman" w:hAnsi="Times New Roman"/>
          <w:sz w:val="24"/>
          <w:szCs w:val="24"/>
        </w:rPr>
        <w:t xml:space="preserve"> di penelitian ini,</w:t>
      </w:r>
      <w:r>
        <w:rPr>
          <w:rFonts w:ascii="Times New Roman" w:hAnsi="Times New Roman"/>
          <w:sz w:val="24"/>
          <w:szCs w:val="24"/>
        </w:rPr>
        <w:t xml:space="preserve"> berada pada fase kronik. Hal ini serupa dengan hasil penelitian Reksodiputro A H</w:t>
      </w:r>
      <w:r>
        <w:rPr>
          <w:rFonts w:ascii="Times New Roman" w:eastAsia="Times New Roman" w:hAnsi="Times New Roman"/>
          <w:sz w:val="24"/>
          <w:szCs w:val="24"/>
        </w:rPr>
        <w:t xml:space="preserve"> dkk, </w:t>
      </w:r>
      <w:r>
        <w:rPr>
          <w:rFonts w:ascii="Times New Roman" w:hAnsi="Times New Roman"/>
          <w:sz w:val="24"/>
          <w:szCs w:val="24"/>
        </w:rPr>
        <w:t xml:space="preserve">yang menyatakan bahwa 15 dari </w:t>
      </w:r>
      <w:r>
        <w:rPr>
          <w:rFonts w:ascii="Times New Roman" w:hAnsi="Times New Roman"/>
          <w:color w:val="000000"/>
          <w:sz w:val="24"/>
          <w:szCs w:val="24"/>
        </w:rPr>
        <w:t>19 penderita LMK berada pada fase kronis.</w:t>
      </w:r>
      <w:r>
        <w:rPr>
          <w:rFonts w:ascii="Times New Roman" w:hAnsi="Times New Roman"/>
          <w:color w:val="000000"/>
          <w:sz w:val="24"/>
          <w:szCs w:val="24"/>
          <w:vertAlign w:val="superscript"/>
        </w:rPr>
        <w:t>5</w:t>
      </w:r>
      <w:r>
        <w:rPr>
          <w:rFonts w:ascii="Times New Roman" w:hAnsi="Times New Roman"/>
          <w:color w:val="000000"/>
          <w:sz w:val="24"/>
          <w:szCs w:val="24"/>
        </w:rPr>
        <w:t xml:space="preserve"> Demikian pula hasil penelitian Sahin F dkk mendapati 94,9% dari 1133 penderita LMK di Turki berada pada fase kronis, sedangkan sisanya berada pada fase akselerasi dan blastik. Banyaknya penderita yang berada pada fase kronis kemungkinan karena bagusnya respon penderita LMK pada terapi yang diberikan dan kemampuan diagnosis penyakit yang lebih baik.</w:t>
      </w:r>
      <w:r>
        <w:rPr>
          <w:rFonts w:ascii="Times New Roman" w:hAnsi="Times New Roman"/>
          <w:color w:val="000000"/>
          <w:sz w:val="24"/>
          <w:szCs w:val="24"/>
          <w:vertAlign w:val="superscript"/>
        </w:rPr>
        <w:t>8</w:t>
      </w:r>
    </w:p>
    <w:p w:rsidR="003E1D6E" w:rsidRDefault="003E1D6E" w:rsidP="003E1D6E">
      <w:pPr>
        <w:pStyle w:val="ListParagraph"/>
        <w:numPr>
          <w:ilvl w:val="0"/>
          <w:numId w:val="8"/>
        </w:numPr>
        <w:spacing w:before="240" w:line="360" w:lineRule="auto"/>
        <w:ind w:left="360"/>
        <w:rPr>
          <w:rFonts w:ascii="Times New Roman" w:hAnsi="Times New Roman"/>
        </w:rPr>
      </w:pPr>
      <w:r>
        <w:rPr>
          <w:rFonts w:ascii="Times New Roman" w:hAnsi="Times New Roman"/>
          <w:sz w:val="24"/>
          <w:szCs w:val="24"/>
        </w:rPr>
        <w:t>Manifestasi klinis</w:t>
      </w:r>
    </w:p>
    <w:p w:rsidR="003E1D6E" w:rsidRDefault="008911DC" w:rsidP="003E1D6E">
      <w:pPr>
        <w:pStyle w:val="ListParagraph"/>
        <w:spacing w:before="240" w:line="360" w:lineRule="auto"/>
        <w:ind w:left="360" w:firstLine="720"/>
        <w:jc w:val="both"/>
        <w:rPr>
          <w:rFonts w:ascii="Times New Roman" w:hAnsi="Times New Roman"/>
          <w:color w:val="000000"/>
          <w:sz w:val="24"/>
          <w:szCs w:val="24"/>
          <w:vertAlign w:val="superscript"/>
        </w:rPr>
      </w:pPr>
      <w:r>
        <w:rPr>
          <w:rFonts w:ascii="Times New Roman" w:hAnsi="Times New Roman"/>
          <w:color w:val="000000"/>
          <w:sz w:val="24"/>
          <w:szCs w:val="24"/>
        </w:rPr>
        <w:t>Menurut hasil</w:t>
      </w:r>
      <w:r w:rsidR="00B31DAA">
        <w:rPr>
          <w:rFonts w:ascii="Times New Roman" w:hAnsi="Times New Roman"/>
          <w:color w:val="000000"/>
          <w:sz w:val="24"/>
          <w:szCs w:val="24"/>
        </w:rPr>
        <w:t xml:space="preserve"> penelitian,</w:t>
      </w:r>
      <w:r>
        <w:rPr>
          <w:rFonts w:ascii="Times New Roman" w:hAnsi="Times New Roman"/>
          <w:color w:val="000000"/>
          <w:sz w:val="24"/>
          <w:szCs w:val="24"/>
        </w:rPr>
        <w:t xml:space="preserve"> p</w:t>
      </w:r>
      <w:r w:rsidR="003E1D6E">
        <w:rPr>
          <w:rFonts w:ascii="Times New Roman" w:hAnsi="Times New Roman"/>
          <w:color w:val="000000"/>
          <w:sz w:val="24"/>
          <w:szCs w:val="24"/>
        </w:rPr>
        <w:t>enurunan berat badan dan splenomegali merupakan manifestasi yang paling banyak dialami oleh pasien LMK. Menurut DeGennaro pasien yang memiliki gejala berat badan yang menurun, kemungkinan disebabkan oleh kurangnya asupan makan sehingga nutrisi yang dibutuhkan tubuh tidak optimal.</w:t>
      </w:r>
      <w:r w:rsidR="003E1D6E">
        <w:rPr>
          <w:rFonts w:ascii="Times New Roman" w:hAnsi="Times New Roman"/>
          <w:color w:val="000000"/>
          <w:sz w:val="24"/>
          <w:szCs w:val="24"/>
          <w:vertAlign w:val="superscript"/>
        </w:rPr>
        <w:t>9</w:t>
      </w:r>
      <w:r w:rsidR="003E1D6E">
        <w:rPr>
          <w:rFonts w:ascii="Times New Roman" w:hAnsi="Times New Roman"/>
          <w:color w:val="000000"/>
          <w:sz w:val="24"/>
          <w:szCs w:val="24"/>
        </w:rPr>
        <w:t xml:space="preserve"> Menurut Savage DG dkk, </w:t>
      </w:r>
      <w:r w:rsidR="003E1D6E">
        <w:rPr>
          <w:rFonts w:ascii="Times New Roman" w:hAnsi="Times New Roman"/>
          <w:color w:val="000000"/>
          <w:sz w:val="24"/>
          <w:szCs w:val="24"/>
        </w:rPr>
        <w:lastRenderedPageBreak/>
        <w:t>leukositosis yang abnormal, pembesaran splen, dan jumlah hemoglobin di bawah normal berhubungan dengan turunnya berat badan dan kelemahan.</w:t>
      </w:r>
      <w:r w:rsidR="003E1D6E">
        <w:rPr>
          <w:rFonts w:ascii="Times New Roman" w:hAnsi="Times New Roman"/>
          <w:color w:val="000000"/>
          <w:sz w:val="24"/>
          <w:szCs w:val="24"/>
          <w:vertAlign w:val="superscript"/>
        </w:rPr>
        <w:t>10</w:t>
      </w:r>
      <w:r w:rsidR="003E1D6E">
        <w:rPr>
          <w:rFonts w:ascii="Times New Roman" w:hAnsi="Times New Roman"/>
          <w:color w:val="000000"/>
          <w:sz w:val="24"/>
          <w:szCs w:val="24"/>
        </w:rPr>
        <w:t xml:space="preserve"> Demikian pula pernyataan oleh Sobecks R &amp; Karl Theil, Pasien LMK yang mengalami hiperleukositosis dapat dijadikan tanda adanya splenomegali.</w:t>
      </w:r>
      <w:r w:rsidR="003E1D6E">
        <w:rPr>
          <w:rFonts w:ascii="Times New Roman" w:hAnsi="Times New Roman"/>
          <w:color w:val="000000"/>
          <w:sz w:val="24"/>
          <w:szCs w:val="24"/>
          <w:vertAlign w:val="superscript"/>
        </w:rPr>
        <w:t>11</w:t>
      </w:r>
      <w:r w:rsidR="003E1D6E">
        <w:rPr>
          <w:rFonts w:ascii="Times New Roman" w:hAnsi="Times New Roman"/>
          <w:color w:val="000000"/>
          <w:sz w:val="24"/>
          <w:szCs w:val="24"/>
        </w:rPr>
        <w:t xml:space="preserve"> Hal tersebut didukung oleh Longo yang menyatakan bahwa splenomegali disebabkan oleh peningkatan fungsi normal </w:t>
      </w:r>
      <w:r w:rsidR="003E1D6E">
        <w:rPr>
          <w:rFonts w:ascii="Times New Roman" w:hAnsi="Times New Roman"/>
          <w:i/>
          <w:color w:val="000000"/>
          <w:sz w:val="24"/>
          <w:szCs w:val="24"/>
        </w:rPr>
        <w:t>spleen</w:t>
      </w:r>
      <w:r w:rsidR="003E1D6E">
        <w:rPr>
          <w:rFonts w:ascii="Times New Roman" w:hAnsi="Times New Roman"/>
          <w:color w:val="000000"/>
          <w:sz w:val="24"/>
          <w:szCs w:val="24"/>
        </w:rPr>
        <w:t>, salah satunya akibat penyakit myeloproliferatif.</w:t>
      </w:r>
      <w:r w:rsidR="003E1D6E">
        <w:rPr>
          <w:rFonts w:ascii="Times New Roman" w:hAnsi="Times New Roman"/>
          <w:color w:val="000000"/>
          <w:sz w:val="24"/>
          <w:szCs w:val="24"/>
          <w:vertAlign w:val="superscript"/>
        </w:rPr>
        <w:t>12</w:t>
      </w:r>
    </w:p>
    <w:p w:rsidR="003E1D6E" w:rsidRDefault="003E1D6E" w:rsidP="003E1D6E">
      <w:pPr>
        <w:pStyle w:val="ListParagraph"/>
        <w:numPr>
          <w:ilvl w:val="0"/>
          <w:numId w:val="8"/>
        </w:numPr>
        <w:spacing w:before="240" w:line="360" w:lineRule="auto"/>
        <w:ind w:left="360"/>
        <w:rPr>
          <w:rFonts w:ascii="Times New Roman" w:hAnsi="Times New Roman"/>
          <w:color w:val="000000"/>
          <w:sz w:val="24"/>
          <w:szCs w:val="24"/>
        </w:rPr>
      </w:pPr>
      <w:r>
        <w:rPr>
          <w:rFonts w:ascii="Times New Roman" w:hAnsi="Times New Roman"/>
          <w:color w:val="000000"/>
          <w:sz w:val="24"/>
          <w:szCs w:val="24"/>
        </w:rPr>
        <w:t>Riwayat transfusi</w:t>
      </w:r>
    </w:p>
    <w:p w:rsidR="003E1D6E" w:rsidRDefault="003E1D6E" w:rsidP="00B31DAA">
      <w:pPr>
        <w:spacing w:line="360" w:lineRule="auto"/>
        <w:ind w:left="360" w:firstLine="720"/>
        <w:jc w:val="both"/>
        <w:rPr>
          <w:rFonts w:ascii="Times New Roman" w:hAnsi="Times New Roman"/>
          <w:sz w:val="24"/>
          <w:szCs w:val="24"/>
        </w:rPr>
      </w:pPr>
      <w:r>
        <w:rPr>
          <w:rFonts w:ascii="Times New Roman" w:hAnsi="Times New Roman"/>
          <w:sz w:val="24"/>
          <w:szCs w:val="24"/>
        </w:rPr>
        <w:t>Terdapat lebih dari setengah penderita LMK melakukan transfusi darah. Hasil ini berbeda dengan hasil yang didapat oleh Simamora, pada penelitiannya tidak ada yang melakukan transfusi darah dari total 4 orang penderita LMK.</w:t>
      </w:r>
      <w:r>
        <w:rPr>
          <w:rFonts w:ascii="Times New Roman" w:hAnsi="Times New Roman"/>
          <w:sz w:val="24"/>
          <w:szCs w:val="24"/>
          <w:vertAlign w:val="superscript"/>
        </w:rPr>
        <w:t>13</w:t>
      </w:r>
    </w:p>
    <w:p w:rsidR="003E1D6E" w:rsidRDefault="003E1D6E" w:rsidP="00B31DAA">
      <w:pPr>
        <w:spacing w:line="360" w:lineRule="auto"/>
        <w:ind w:left="360" w:firstLine="720"/>
        <w:jc w:val="both"/>
        <w:rPr>
          <w:rFonts w:ascii="Times New Roman" w:hAnsi="Times New Roman"/>
          <w:sz w:val="24"/>
          <w:szCs w:val="24"/>
        </w:rPr>
      </w:pPr>
      <w:r>
        <w:rPr>
          <w:rFonts w:ascii="Times New Roman" w:hAnsi="Times New Roman"/>
          <w:sz w:val="24"/>
          <w:szCs w:val="24"/>
        </w:rPr>
        <w:t xml:space="preserve">Hal ini kemungkinan disebabkan oleh perbedaan jumlah sampel yang cukup jauh, sehingga tidak dapat dilihat adanya kemiripan hasil antara kedua penelitian tersebut terkait dengan riwayat transfusi darah pada penderita LMK. Selain itu, kemungkinan sampel pada penelitian tersebut </w:t>
      </w:r>
      <w:r>
        <w:rPr>
          <w:rFonts w:ascii="Times New Roman" w:hAnsi="Times New Roman"/>
          <w:sz w:val="24"/>
          <w:szCs w:val="24"/>
        </w:rPr>
        <w:lastRenderedPageBreak/>
        <w:t>belum mengindikasikan transfusi darah.</w:t>
      </w:r>
    </w:p>
    <w:p w:rsidR="003E1D6E" w:rsidRDefault="003E1D6E" w:rsidP="003E1D6E">
      <w:pPr>
        <w:pStyle w:val="ListParagraph"/>
        <w:numPr>
          <w:ilvl w:val="0"/>
          <w:numId w:val="8"/>
        </w:numPr>
        <w:spacing w:before="240" w:line="360" w:lineRule="auto"/>
        <w:ind w:left="360"/>
        <w:rPr>
          <w:rFonts w:ascii="Times New Roman" w:hAnsi="Times New Roman"/>
          <w:color w:val="000000"/>
          <w:sz w:val="24"/>
          <w:szCs w:val="24"/>
        </w:rPr>
      </w:pPr>
      <w:r>
        <w:rPr>
          <w:rFonts w:ascii="Times New Roman" w:hAnsi="Times New Roman"/>
          <w:color w:val="000000"/>
          <w:sz w:val="24"/>
          <w:szCs w:val="24"/>
        </w:rPr>
        <w:t>Hasil darah lengkap</w:t>
      </w:r>
    </w:p>
    <w:p w:rsidR="003E1D6E" w:rsidRDefault="003E1D6E" w:rsidP="003E1D6E">
      <w:pPr>
        <w:spacing w:after="0" w:line="360" w:lineRule="auto"/>
        <w:ind w:left="360" w:firstLine="720"/>
        <w:jc w:val="both"/>
        <w:rPr>
          <w:rFonts w:ascii="Times New Roman" w:hAnsi="Times New Roman"/>
          <w:sz w:val="24"/>
          <w:szCs w:val="24"/>
        </w:rPr>
      </w:pPr>
      <w:r>
        <w:rPr>
          <w:rFonts w:ascii="Times New Roman" w:hAnsi="Times New Roman"/>
          <w:sz w:val="24"/>
          <w:szCs w:val="24"/>
        </w:rPr>
        <w:t>Menurut WHO rerata jumlah hemoglobin pada penelitian ini, dikategorikan sebagai anemia sedang (&lt;9</w:t>
      </w:r>
      <w:proofErr w:type="gramStart"/>
      <w:r>
        <w:rPr>
          <w:rFonts w:ascii="Times New Roman" w:hAnsi="Times New Roman"/>
          <w:sz w:val="24"/>
          <w:szCs w:val="24"/>
        </w:rPr>
        <w:t>,8</w:t>
      </w:r>
      <w:proofErr w:type="gramEnd"/>
      <w:r>
        <w:rPr>
          <w:rFonts w:ascii="Times New Roman" w:hAnsi="Times New Roman"/>
          <w:sz w:val="24"/>
          <w:szCs w:val="24"/>
        </w:rPr>
        <w:t xml:space="preserve"> gr/dl).</w:t>
      </w:r>
      <w:r>
        <w:rPr>
          <w:rFonts w:ascii="Times New Roman" w:hAnsi="Times New Roman"/>
          <w:sz w:val="24"/>
          <w:szCs w:val="24"/>
          <w:vertAlign w:val="superscript"/>
        </w:rPr>
        <w:t>14</w:t>
      </w:r>
      <w:r>
        <w:rPr>
          <w:rFonts w:ascii="Times New Roman" w:hAnsi="Times New Roman"/>
          <w:sz w:val="24"/>
          <w:szCs w:val="24"/>
        </w:rPr>
        <w:t xml:space="preserve"> Hal ini didukung oleh pendapat Bakta M yang menyatakan bahwa penderita LMK cenderung mengalami anemia sedang.</w:t>
      </w:r>
      <w:r>
        <w:rPr>
          <w:rFonts w:ascii="Times New Roman" w:hAnsi="Times New Roman"/>
          <w:sz w:val="24"/>
          <w:szCs w:val="24"/>
          <w:vertAlign w:val="superscript"/>
        </w:rPr>
        <w:t>15</w:t>
      </w:r>
    </w:p>
    <w:p w:rsidR="003E1D6E" w:rsidRDefault="003E1D6E" w:rsidP="003E1D6E">
      <w:pPr>
        <w:spacing w:after="0" w:line="360" w:lineRule="auto"/>
        <w:ind w:left="360" w:firstLine="720"/>
        <w:jc w:val="both"/>
        <w:rPr>
          <w:rFonts w:ascii="Times New Roman" w:hAnsi="Times New Roman"/>
          <w:sz w:val="24"/>
          <w:szCs w:val="24"/>
        </w:rPr>
      </w:pPr>
      <w:r>
        <w:rPr>
          <w:rFonts w:ascii="Times New Roman" w:hAnsi="Times New Roman"/>
          <w:sz w:val="24"/>
          <w:szCs w:val="24"/>
        </w:rPr>
        <w:t>Hasil ini serupa dengan penelitian milik Hakiki H, yang menemukan keseluruhan dari 19 orang, memiliki jumlah leukosit diatas normal.</w:t>
      </w:r>
      <w:r>
        <w:rPr>
          <w:rFonts w:ascii="Times New Roman" w:hAnsi="Times New Roman"/>
          <w:sz w:val="24"/>
          <w:szCs w:val="24"/>
          <w:vertAlign w:val="superscript"/>
        </w:rPr>
        <w:t>16</w:t>
      </w:r>
      <w:r>
        <w:rPr>
          <w:rFonts w:ascii="Times New Roman" w:hAnsi="Times New Roman"/>
          <w:sz w:val="24"/>
          <w:szCs w:val="24"/>
        </w:rPr>
        <w:t xml:space="preserve"> Pada penelitian oleh Rendra M dkk menunjukkan keseluruhan dari 16 sampel, mengalami leukositosis dan didapatkan pula orang yang mengalami trombositopenia, normal, dan trombositosis berturut-turut sejumlah 4, 4, dan 8 orang.</w:t>
      </w:r>
      <w:r>
        <w:rPr>
          <w:rFonts w:ascii="Times New Roman" w:hAnsi="Times New Roman"/>
          <w:sz w:val="24"/>
          <w:szCs w:val="24"/>
          <w:vertAlign w:val="superscript"/>
        </w:rPr>
        <w:t>17</w:t>
      </w:r>
    </w:p>
    <w:p w:rsidR="003E1D6E" w:rsidRDefault="003E1D6E" w:rsidP="003E1D6E">
      <w:pPr>
        <w:pStyle w:val="ListParagraph"/>
        <w:numPr>
          <w:ilvl w:val="0"/>
          <w:numId w:val="8"/>
        </w:numPr>
        <w:spacing w:before="240"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Pemeriksaan BCR ABL Kualitatif</w:t>
      </w:r>
    </w:p>
    <w:p w:rsidR="003E1D6E" w:rsidRDefault="003E1D6E" w:rsidP="003E1D6E">
      <w:pPr>
        <w:spacing w:before="240" w:line="360" w:lineRule="auto"/>
        <w:ind w:left="360" w:firstLine="720"/>
        <w:jc w:val="both"/>
        <w:rPr>
          <w:rFonts w:ascii="Times New Roman" w:eastAsiaTheme="minorHAnsi" w:hAnsi="Times New Roman"/>
          <w:sz w:val="24"/>
          <w:szCs w:val="24"/>
        </w:rPr>
      </w:pPr>
      <w:r>
        <w:rPr>
          <w:rFonts w:ascii="Times New Roman" w:hAnsi="Times New Roman"/>
          <w:sz w:val="24"/>
          <w:szCs w:val="24"/>
        </w:rPr>
        <w:t xml:space="preserve">Sebagian besar penderita LMK memiliki hasil positif pada pemeriksaan BCR ABL kualitatifnya, sedangkan sisanya belum diketahui pasti, salah satunya dikarenakan tidak adanya hasil </w:t>
      </w:r>
      <w:r>
        <w:rPr>
          <w:rFonts w:ascii="Times New Roman" w:hAnsi="Times New Roman"/>
          <w:sz w:val="24"/>
          <w:szCs w:val="24"/>
        </w:rPr>
        <w:lastRenderedPageBreak/>
        <w:t xml:space="preserve">pemeriksaan BCR ABL kualitatif pada rekam medis pasien. </w:t>
      </w:r>
    </w:p>
    <w:p w:rsidR="003E1D6E" w:rsidRDefault="003E1D6E" w:rsidP="003E1D6E">
      <w:pPr>
        <w:spacing w:line="360" w:lineRule="auto"/>
        <w:ind w:left="360" w:firstLine="720"/>
        <w:jc w:val="both"/>
        <w:rPr>
          <w:rFonts w:ascii="Times New Roman" w:hAnsi="Times New Roman"/>
          <w:sz w:val="24"/>
          <w:szCs w:val="24"/>
          <w:vertAlign w:val="superscript"/>
        </w:rPr>
      </w:pPr>
      <w:r>
        <w:rPr>
          <w:rFonts w:ascii="Times New Roman" w:hAnsi="Times New Roman"/>
          <w:sz w:val="24"/>
          <w:szCs w:val="24"/>
        </w:rPr>
        <w:t xml:space="preserve">Menurut Reksodiputro AH </w:t>
      </w:r>
      <w:proofErr w:type="gramStart"/>
      <w:r>
        <w:rPr>
          <w:rFonts w:ascii="Times New Roman" w:hAnsi="Times New Roman"/>
          <w:sz w:val="24"/>
          <w:szCs w:val="24"/>
        </w:rPr>
        <w:t>dkk.,</w:t>
      </w:r>
      <w:proofErr w:type="gramEnd"/>
      <w:r>
        <w:rPr>
          <w:rFonts w:ascii="Times New Roman" w:hAnsi="Times New Roman"/>
          <w:sz w:val="24"/>
          <w:szCs w:val="24"/>
        </w:rPr>
        <w:t xml:space="preserve"> terdapat kemungkinan gen BCR ABL untuk bermutasi sehingga dapat mempengaruhi penanganan penyakit ini.</w:t>
      </w:r>
      <w:r>
        <w:rPr>
          <w:rFonts w:ascii="Times New Roman" w:hAnsi="Times New Roman"/>
          <w:sz w:val="24"/>
          <w:szCs w:val="24"/>
          <w:vertAlign w:val="superscript"/>
        </w:rPr>
        <w:t>18</w:t>
      </w:r>
    </w:p>
    <w:p w:rsidR="003E1D6E" w:rsidRDefault="003E1D6E" w:rsidP="003E1D6E">
      <w:pPr>
        <w:pStyle w:val="ListParagraph"/>
        <w:numPr>
          <w:ilvl w:val="0"/>
          <w:numId w:val="8"/>
        </w:numPr>
        <w:spacing w:line="360" w:lineRule="auto"/>
        <w:ind w:left="360"/>
        <w:jc w:val="both"/>
        <w:rPr>
          <w:rFonts w:ascii="Times New Roman" w:hAnsi="Times New Roman"/>
          <w:sz w:val="24"/>
          <w:szCs w:val="24"/>
        </w:rPr>
      </w:pPr>
      <w:r>
        <w:rPr>
          <w:rFonts w:ascii="Times New Roman" w:hAnsi="Times New Roman"/>
          <w:sz w:val="24"/>
          <w:szCs w:val="24"/>
        </w:rPr>
        <w:t>Riwayat terapi</w:t>
      </w:r>
    </w:p>
    <w:p w:rsidR="003E1D6E" w:rsidRDefault="003E1D6E" w:rsidP="003E1D6E">
      <w:pPr>
        <w:spacing w:after="0" w:line="360" w:lineRule="auto"/>
        <w:ind w:left="360" w:firstLine="720"/>
        <w:jc w:val="both"/>
        <w:rPr>
          <w:rFonts w:ascii="Times New Roman" w:hAnsi="Times New Roman"/>
          <w:sz w:val="24"/>
          <w:szCs w:val="24"/>
        </w:rPr>
      </w:pPr>
      <w:r>
        <w:rPr>
          <w:rFonts w:ascii="Times New Roman" w:hAnsi="Times New Roman"/>
          <w:sz w:val="24"/>
          <w:szCs w:val="24"/>
        </w:rPr>
        <w:t>Sebagian penderita LMK (53</w:t>
      </w:r>
      <w:proofErr w:type="gramStart"/>
      <w:r>
        <w:rPr>
          <w:rFonts w:ascii="Times New Roman" w:hAnsi="Times New Roman"/>
          <w:sz w:val="24"/>
          <w:szCs w:val="24"/>
        </w:rPr>
        <w:t>,7</w:t>
      </w:r>
      <w:proofErr w:type="gramEnd"/>
      <w:r>
        <w:rPr>
          <w:rFonts w:ascii="Times New Roman" w:hAnsi="Times New Roman"/>
          <w:sz w:val="24"/>
          <w:szCs w:val="24"/>
        </w:rPr>
        <w:t xml:space="preserve">%) pernah mendapat 2 jenis pengobatan yaitu TKI dan NON TKI. Menurut Au WY </w:t>
      </w:r>
      <w:proofErr w:type="gramStart"/>
      <w:r>
        <w:rPr>
          <w:rFonts w:ascii="Times New Roman" w:hAnsi="Times New Roman"/>
          <w:sz w:val="24"/>
          <w:szCs w:val="24"/>
        </w:rPr>
        <w:t>dkk.,</w:t>
      </w:r>
      <w:proofErr w:type="gramEnd"/>
      <w:r>
        <w:rPr>
          <w:rFonts w:ascii="Times New Roman" w:hAnsi="Times New Roman"/>
          <w:sz w:val="24"/>
          <w:szCs w:val="24"/>
        </w:rPr>
        <w:t xml:space="preserve"> Imatinib merupakan terapi pilihan pertama untuk mengobati LMK.  Sebagian besar praktisi kesehatan di Asia mengikuti pedoman yang ada pada ELN (</w:t>
      </w:r>
      <w:r>
        <w:rPr>
          <w:rFonts w:ascii="Times New Roman" w:hAnsi="Times New Roman"/>
          <w:i/>
          <w:sz w:val="24"/>
          <w:szCs w:val="24"/>
        </w:rPr>
        <w:t>European Leukemia Net</w:t>
      </w:r>
      <w:r>
        <w:rPr>
          <w:rFonts w:ascii="Times New Roman" w:hAnsi="Times New Roman"/>
          <w:sz w:val="24"/>
          <w:szCs w:val="24"/>
        </w:rPr>
        <w:t>) atau NCCN (</w:t>
      </w:r>
      <w:r>
        <w:rPr>
          <w:rFonts w:ascii="Times New Roman" w:hAnsi="Times New Roman"/>
          <w:i/>
          <w:sz w:val="24"/>
          <w:szCs w:val="24"/>
        </w:rPr>
        <w:t>National Comprehensive Cancer Network</w:t>
      </w:r>
      <w:r>
        <w:rPr>
          <w:rFonts w:ascii="Times New Roman" w:hAnsi="Times New Roman"/>
          <w:sz w:val="24"/>
          <w:szCs w:val="24"/>
        </w:rPr>
        <w:t xml:space="preserve">). Umumnya respon pasien yang berasal dari Asia, Eropa dan Amerika Serikat terhadap pemberian imatinib adalah </w:t>
      </w:r>
      <w:proofErr w:type="gramStart"/>
      <w:r>
        <w:rPr>
          <w:rFonts w:ascii="Times New Roman" w:hAnsi="Times New Roman"/>
          <w:sz w:val="24"/>
          <w:szCs w:val="24"/>
        </w:rPr>
        <w:t>sama</w:t>
      </w:r>
      <w:proofErr w:type="gramEnd"/>
      <w:r>
        <w:rPr>
          <w:rFonts w:ascii="Times New Roman" w:hAnsi="Times New Roman"/>
          <w:sz w:val="24"/>
          <w:szCs w:val="24"/>
        </w:rPr>
        <w:t xml:space="preserve"> baik. Beberapa Negara di Asia seperti India dan Filipina yang masih memiliki daerah dengan fasilitas diagnosis yang belum mumpuni, masih menggunakan Hidroxyurea sebagai inisial terapi. Di Negara Barat pemberian hydroxyurea masih bisa diberikan, yaitu pada kasus paliatif, gagalnya </w:t>
      </w:r>
      <w:r>
        <w:rPr>
          <w:rFonts w:ascii="Times New Roman" w:hAnsi="Times New Roman"/>
          <w:sz w:val="24"/>
          <w:szCs w:val="24"/>
        </w:rPr>
        <w:lastRenderedPageBreak/>
        <w:t>penggunaan imatinib, dan kontraindikasi pemberian interferon. Berdasarkan hasil penelitian yang telah dikumpulkan mengenai respon pasien LMK terhadap imatinib,  di Eropa dan Amerika Serikat menunjukkan komplit hematologi respon lebih dari 95%, sedangkan di Thailand, Filipina, India, Cina, Hongkong dan Korea Selatan sebesar 90-100%.</w:t>
      </w:r>
      <w:r>
        <w:rPr>
          <w:rFonts w:ascii="Times New Roman" w:hAnsi="Times New Roman"/>
          <w:sz w:val="24"/>
          <w:szCs w:val="24"/>
          <w:vertAlign w:val="superscript"/>
        </w:rPr>
        <w:t>6</w:t>
      </w:r>
    </w:p>
    <w:p w:rsidR="003E1D6E" w:rsidRDefault="003E1D6E" w:rsidP="003E1D6E">
      <w:pPr>
        <w:spacing w:line="360" w:lineRule="auto"/>
        <w:ind w:left="360" w:firstLine="720"/>
        <w:jc w:val="both"/>
        <w:rPr>
          <w:rFonts w:asciiTheme="minorHAnsi" w:hAnsiTheme="minorHAnsi" w:cstheme="minorBidi"/>
        </w:rPr>
      </w:pPr>
      <w:r>
        <w:rPr>
          <w:rFonts w:ascii="Times New Roman" w:hAnsi="Times New Roman"/>
          <w:sz w:val="24"/>
          <w:szCs w:val="24"/>
        </w:rPr>
        <w:t>Pendapat Reksodiputro AH dkk., menyebutkan, resistensi pemberian imatinib dapat disebabkan oleh beberapa hal seperti mutasi domain BCR ABL kinase, amplifikasi gen BCR ABL, farmakologi seluler, ekspresi BCR ABL yang berlebihan, dan evolusi klonal Ph+.</w:t>
      </w:r>
      <w:r>
        <w:rPr>
          <w:rFonts w:ascii="Times New Roman" w:hAnsi="Times New Roman"/>
          <w:sz w:val="24"/>
          <w:szCs w:val="24"/>
          <w:vertAlign w:val="superscript"/>
        </w:rPr>
        <w:t>18</w:t>
      </w:r>
    </w:p>
    <w:p w:rsidR="00C6156E" w:rsidRPr="002D6A40" w:rsidRDefault="00A96A43" w:rsidP="003E1D6E">
      <w:pPr>
        <w:spacing w:after="0" w:line="360" w:lineRule="auto"/>
        <w:jc w:val="both"/>
        <w:rPr>
          <w:rFonts w:ascii="Times New Roman" w:hAnsi="Times New Roman"/>
          <w:b/>
          <w:sz w:val="24"/>
          <w:szCs w:val="24"/>
        </w:rPr>
      </w:pPr>
      <w:r w:rsidRPr="002D6A40">
        <w:rPr>
          <w:rFonts w:ascii="Times New Roman" w:hAnsi="Times New Roman"/>
          <w:b/>
          <w:sz w:val="24"/>
          <w:szCs w:val="24"/>
        </w:rPr>
        <w:t>SIMPULAN</w:t>
      </w:r>
    </w:p>
    <w:p w:rsidR="00A96A43" w:rsidRPr="000109B6" w:rsidRDefault="00A96A43" w:rsidP="003E1D6E">
      <w:pPr>
        <w:pStyle w:val="ListParagraph"/>
        <w:spacing w:line="360" w:lineRule="auto"/>
        <w:ind w:left="0" w:firstLine="720"/>
        <w:jc w:val="both"/>
        <w:rPr>
          <w:rFonts w:ascii="Times New Roman" w:hAnsi="Times New Roman"/>
          <w:sz w:val="24"/>
          <w:szCs w:val="24"/>
        </w:rPr>
      </w:pPr>
      <w:r w:rsidRPr="000109B6">
        <w:rPr>
          <w:rFonts w:ascii="Times New Roman" w:hAnsi="Times New Roman"/>
          <w:sz w:val="24"/>
          <w:szCs w:val="24"/>
        </w:rPr>
        <w:t>Simpulan yang dapat diambil dari penelitian Karakteristik Pasien LMK di RSUP Sanglah Denpasar Tahun 2014-2015 adalah sebagai berikut:</w:t>
      </w:r>
    </w:p>
    <w:p w:rsidR="00A96A43" w:rsidRPr="000109B6" w:rsidRDefault="00A96A43" w:rsidP="00845FDF">
      <w:pPr>
        <w:pStyle w:val="ListParagraph"/>
        <w:numPr>
          <w:ilvl w:val="0"/>
          <w:numId w:val="4"/>
        </w:numPr>
        <w:spacing w:line="360" w:lineRule="auto"/>
        <w:ind w:left="360"/>
        <w:jc w:val="both"/>
        <w:rPr>
          <w:rFonts w:ascii="Times New Roman" w:hAnsi="Times New Roman"/>
          <w:sz w:val="24"/>
          <w:szCs w:val="24"/>
        </w:rPr>
      </w:pPr>
      <w:r w:rsidRPr="000109B6">
        <w:rPr>
          <w:rFonts w:ascii="Times New Roman" w:hAnsi="Times New Roman"/>
          <w:sz w:val="24"/>
          <w:szCs w:val="24"/>
        </w:rPr>
        <w:t xml:space="preserve">Terdapat 41 sampel yang sesuai kriteria inklusi, dengan 27 orang </w:t>
      </w:r>
      <w:r w:rsidR="00E90EA5">
        <w:rPr>
          <w:rFonts w:ascii="Times New Roman" w:hAnsi="Times New Roman"/>
          <w:sz w:val="24"/>
          <w:szCs w:val="24"/>
        </w:rPr>
        <w:t>lelaki</w:t>
      </w:r>
      <w:r w:rsidRPr="000109B6">
        <w:rPr>
          <w:rFonts w:ascii="Times New Roman" w:hAnsi="Times New Roman"/>
          <w:sz w:val="24"/>
          <w:szCs w:val="24"/>
        </w:rPr>
        <w:t xml:space="preserve"> dan 14 orang perempuan. Rerata umurnya adalah 38.22±14.09 tahun.</w:t>
      </w:r>
    </w:p>
    <w:p w:rsidR="00A96A43" w:rsidRPr="000109B6" w:rsidRDefault="00A96A43" w:rsidP="00845FDF">
      <w:pPr>
        <w:pStyle w:val="ListParagraph"/>
        <w:numPr>
          <w:ilvl w:val="0"/>
          <w:numId w:val="4"/>
        </w:numPr>
        <w:spacing w:line="360" w:lineRule="auto"/>
        <w:ind w:left="360"/>
        <w:jc w:val="both"/>
        <w:rPr>
          <w:rFonts w:ascii="Times New Roman" w:hAnsi="Times New Roman"/>
          <w:sz w:val="24"/>
          <w:szCs w:val="24"/>
        </w:rPr>
      </w:pPr>
      <w:r w:rsidRPr="000109B6">
        <w:rPr>
          <w:rFonts w:ascii="Times New Roman" w:hAnsi="Times New Roman"/>
          <w:sz w:val="24"/>
          <w:szCs w:val="24"/>
        </w:rPr>
        <w:t xml:space="preserve">Manifestasi klinis yang muncul pada 41 sampel ini antara lain </w:t>
      </w:r>
      <w:r w:rsidRPr="000109B6">
        <w:rPr>
          <w:rFonts w:ascii="Times New Roman" w:hAnsi="Times New Roman"/>
          <w:sz w:val="24"/>
          <w:szCs w:val="24"/>
        </w:rPr>
        <w:lastRenderedPageBreak/>
        <w:t>demam, penurunan berat badan, sindrom anemia, perdarahan, splenomegali, hepatomegali.</w:t>
      </w:r>
    </w:p>
    <w:p w:rsidR="00A96A43" w:rsidRPr="000109B6" w:rsidRDefault="00A96A43" w:rsidP="00845FDF">
      <w:pPr>
        <w:pStyle w:val="ListParagraph"/>
        <w:numPr>
          <w:ilvl w:val="0"/>
          <w:numId w:val="4"/>
        </w:numPr>
        <w:spacing w:line="360" w:lineRule="auto"/>
        <w:ind w:left="360"/>
        <w:jc w:val="both"/>
        <w:rPr>
          <w:rFonts w:ascii="Times New Roman" w:hAnsi="Times New Roman"/>
          <w:sz w:val="24"/>
          <w:szCs w:val="24"/>
        </w:rPr>
      </w:pPr>
      <w:r w:rsidRPr="000109B6">
        <w:rPr>
          <w:rFonts w:ascii="Times New Roman" w:hAnsi="Times New Roman"/>
          <w:sz w:val="24"/>
          <w:szCs w:val="24"/>
        </w:rPr>
        <w:t>Berdasarkan hasil pemeriksaan darah lengkap, kelainan jumlah sel darah, seperti leukositosis, anemia, trombositosis, dan trombositopenia ada pada sampel yang diteliti</w:t>
      </w:r>
    </w:p>
    <w:p w:rsidR="00A96A43" w:rsidRPr="000109B6" w:rsidRDefault="00A96A43" w:rsidP="00845FDF">
      <w:pPr>
        <w:pStyle w:val="ListParagraph"/>
        <w:numPr>
          <w:ilvl w:val="0"/>
          <w:numId w:val="4"/>
        </w:numPr>
        <w:spacing w:line="360" w:lineRule="auto"/>
        <w:ind w:left="360"/>
        <w:jc w:val="both"/>
        <w:rPr>
          <w:rFonts w:ascii="Times New Roman" w:hAnsi="Times New Roman"/>
          <w:sz w:val="24"/>
          <w:szCs w:val="24"/>
        </w:rPr>
      </w:pPr>
      <w:r w:rsidRPr="000109B6">
        <w:rPr>
          <w:rFonts w:ascii="Times New Roman" w:hAnsi="Times New Roman"/>
          <w:sz w:val="24"/>
          <w:szCs w:val="24"/>
        </w:rPr>
        <w:t xml:space="preserve">Pemeriksaan </w:t>
      </w:r>
      <w:r w:rsidR="00E90EA5">
        <w:rPr>
          <w:rFonts w:ascii="Times New Roman" w:hAnsi="Times New Roman"/>
          <w:sz w:val="24"/>
          <w:szCs w:val="24"/>
        </w:rPr>
        <w:t>BCR ABL</w:t>
      </w:r>
      <w:r w:rsidRPr="000109B6">
        <w:rPr>
          <w:rFonts w:ascii="Times New Roman" w:hAnsi="Times New Roman"/>
          <w:sz w:val="24"/>
          <w:szCs w:val="24"/>
        </w:rPr>
        <w:t xml:space="preserve"> kualitatif dominan menunjukkan hasil positif</w:t>
      </w:r>
    </w:p>
    <w:p w:rsidR="00E52663" w:rsidRPr="00E90EA5" w:rsidRDefault="00A96A43" w:rsidP="00845FDF">
      <w:pPr>
        <w:pStyle w:val="ListParagraph"/>
        <w:numPr>
          <w:ilvl w:val="0"/>
          <w:numId w:val="4"/>
        </w:numPr>
        <w:spacing w:line="360" w:lineRule="auto"/>
        <w:ind w:left="360"/>
        <w:jc w:val="both"/>
        <w:rPr>
          <w:rFonts w:ascii="Times New Roman" w:hAnsi="Times New Roman"/>
          <w:sz w:val="24"/>
          <w:szCs w:val="24"/>
        </w:rPr>
      </w:pPr>
      <w:r w:rsidRPr="000109B6">
        <w:rPr>
          <w:rFonts w:ascii="Times New Roman" w:hAnsi="Times New Roman"/>
          <w:sz w:val="24"/>
          <w:szCs w:val="24"/>
        </w:rPr>
        <w:t>Dari riwayat terapi yang diberikan sebagian besar pasien mendapatkan 2 jenis terapi yaitu TKI (Imatinib) dan NON TKI (Hydroxyurea)</w:t>
      </w:r>
    </w:p>
    <w:p w:rsidR="001926FA" w:rsidRPr="002D6A40" w:rsidRDefault="00D94558" w:rsidP="00296382">
      <w:pPr>
        <w:spacing w:before="240" w:line="360" w:lineRule="auto"/>
        <w:jc w:val="both"/>
        <w:rPr>
          <w:rFonts w:ascii="Times New Roman" w:hAnsi="Times New Roman"/>
          <w:b/>
          <w:sz w:val="24"/>
          <w:szCs w:val="24"/>
        </w:rPr>
      </w:pPr>
      <w:r w:rsidRPr="002D6A40">
        <w:rPr>
          <w:rFonts w:ascii="Times New Roman" w:hAnsi="Times New Roman"/>
          <w:b/>
          <w:sz w:val="24"/>
          <w:szCs w:val="24"/>
        </w:rPr>
        <w:t>DAFTAR PUSTAKA</w:t>
      </w:r>
      <w:r w:rsidR="007B2916" w:rsidRPr="002D6A40">
        <w:rPr>
          <w:rFonts w:ascii="Times New Roman" w:hAnsi="Times New Roman"/>
          <w:b/>
          <w:sz w:val="24"/>
          <w:szCs w:val="24"/>
        </w:rPr>
        <w:t xml:space="preserve"> </w:t>
      </w:r>
    </w:p>
    <w:p w:rsidR="00A75729" w:rsidRPr="00BC41CD" w:rsidRDefault="00A75729" w:rsidP="00853056">
      <w:pPr>
        <w:pStyle w:val="ListParagraph"/>
        <w:numPr>
          <w:ilvl w:val="3"/>
          <w:numId w:val="4"/>
        </w:numPr>
        <w:autoSpaceDE w:val="0"/>
        <w:autoSpaceDN w:val="0"/>
        <w:adjustRightInd w:val="0"/>
        <w:spacing w:after="0" w:line="360" w:lineRule="auto"/>
        <w:ind w:left="360"/>
        <w:jc w:val="both"/>
        <w:rPr>
          <w:rFonts w:ascii="Times New Roman" w:hAnsi="Times New Roman"/>
          <w:sz w:val="24"/>
          <w:szCs w:val="24"/>
        </w:rPr>
      </w:pPr>
      <w:r w:rsidRPr="00BC41CD">
        <w:rPr>
          <w:rFonts w:ascii="Times New Roman" w:hAnsi="Times New Roman"/>
          <w:bCs/>
          <w:color w:val="000000"/>
          <w:sz w:val="24"/>
          <w:szCs w:val="24"/>
        </w:rPr>
        <w:t>K</w:t>
      </w:r>
      <w:r w:rsidR="00BC41CD">
        <w:rPr>
          <w:rFonts w:ascii="Times New Roman" w:hAnsi="Times New Roman"/>
          <w:bCs/>
          <w:color w:val="000000"/>
          <w:sz w:val="24"/>
          <w:szCs w:val="24"/>
        </w:rPr>
        <w:t>umar, Abbas, Fausto, Aster</w:t>
      </w:r>
      <w:r w:rsidRPr="00BC41CD">
        <w:rPr>
          <w:rFonts w:ascii="Times New Roman" w:hAnsi="Times New Roman"/>
          <w:bCs/>
          <w:color w:val="000000"/>
          <w:sz w:val="24"/>
          <w:szCs w:val="24"/>
        </w:rPr>
        <w:t xml:space="preserve">. Robbins and Cotran Pathologic Basis of Disease 8 edition. </w:t>
      </w:r>
      <w:proofErr w:type="gramStart"/>
      <w:r w:rsidRPr="00BC41CD">
        <w:rPr>
          <w:rFonts w:ascii="Times New Roman" w:hAnsi="Times New Roman"/>
          <w:bCs/>
          <w:color w:val="000000"/>
          <w:sz w:val="24"/>
          <w:szCs w:val="24"/>
        </w:rPr>
        <w:t>Philadelphia :</w:t>
      </w:r>
      <w:proofErr w:type="gramEnd"/>
      <w:r w:rsidRPr="00BC41CD">
        <w:rPr>
          <w:rFonts w:ascii="Times New Roman" w:hAnsi="Times New Roman"/>
          <w:bCs/>
          <w:color w:val="000000"/>
          <w:sz w:val="24"/>
          <w:szCs w:val="24"/>
        </w:rPr>
        <w:t xml:space="preserve"> </w:t>
      </w:r>
      <w:r w:rsidRPr="00BC41CD">
        <w:rPr>
          <w:rFonts w:ascii="Times New Roman" w:hAnsi="Times New Roman"/>
          <w:sz w:val="24"/>
          <w:szCs w:val="24"/>
        </w:rPr>
        <w:t>Saunders Elsevier</w:t>
      </w:r>
      <w:r w:rsidR="00BC41CD">
        <w:rPr>
          <w:rFonts w:ascii="Times New Roman" w:hAnsi="Times New Roman"/>
          <w:sz w:val="24"/>
          <w:szCs w:val="24"/>
        </w:rPr>
        <w:t>. 2010</w:t>
      </w:r>
      <w:r w:rsidRPr="00BC41CD">
        <w:rPr>
          <w:rFonts w:ascii="Times New Roman" w:hAnsi="Times New Roman"/>
          <w:sz w:val="24"/>
          <w:szCs w:val="24"/>
        </w:rPr>
        <w:t xml:space="preserve"> </w:t>
      </w:r>
    </w:p>
    <w:p w:rsidR="00A75729" w:rsidRPr="00B31DAA" w:rsidRDefault="00A75729" w:rsidP="00853056">
      <w:pPr>
        <w:pStyle w:val="Heading1"/>
        <w:numPr>
          <w:ilvl w:val="3"/>
          <w:numId w:val="4"/>
        </w:numPr>
        <w:spacing w:line="360" w:lineRule="auto"/>
        <w:ind w:left="360"/>
        <w:jc w:val="both"/>
        <w:rPr>
          <w:b w:val="0"/>
          <w:sz w:val="24"/>
          <w:szCs w:val="24"/>
          <w:lang w:val="en-US"/>
        </w:rPr>
      </w:pPr>
      <w:r w:rsidRPr="00BC41CD">
        <w:rPr>
          <w:b w:val="0"/>
          <w:sz w:val="24"/>
          <w:szCs w:val="24"/>
          <w:lang w:val="en-US"/>
        </w:rPr>
        <w:t xml:space="preserve">Anonim. Surveillance, Epidemiology, and End Results Program Stat Fact Sheets: </w:t>
      </w:r>
      <w:r w:rsidRPr="00B31DAA">
        <w:rPr>
          <w:b w:val="0"/>
          <w:sz w:val="24"/>
          <w:szCs w:val="24"/>
          <w:lang w:val="en-US"/>
        </w:rPr>
        <w:t>Leukemia</w:t>
      </w:r>
      <w:proofErr w:type="gramStart"/>
      <w:r w:rsidRPr="00B31DAA">
        <w:rPr>
          <w:b w:val="0"/>
          <w:sz w:val="24"/>
          <w:szCs w:val="24"/>
          <w:lang w:val="en-US"/>
        </w:rPr>
        <w:t>.[</w:t>
      </w:r>
      <w:proofErr w:type="gramEnd"/>
      <w:r w:rsidRPr="00B31DAA">
        <w:rPr>
          <w:b w:val="0"/>
          <w:sz w:val="24"/>
          <w:szCs w:val="24"/>
          <w:lang w:val="en-US"/>
        </w:rPr>
        <w:t xml:space="preserve">Online] Tersedia di: </w:t>
      </w:r>
      <w:hyperlink r:id="rId6" w:history="1">
        <w:r w:rsidRPr="00B31DAA">
          <w:rPr>
            <w:rStyle w:val="Hyperlink"/>
            <w:b w:val="0"/>
            <w:color w:val="auto"/>
            <w:sz w:val="24"/>
            <w:szCs w:val="24"/>
            <w:lang w:val="en-US"/>
          </w:rPr>
          <w:t>http://seer.cancer.gov/statfacts/html/leuks.html</w:t>
        </w:r>
      </w:hyperlink>
      <w:r w:rsidRPr="00B31DAA">
        <w:rPr>
          <w:b w:val="0"/>
          <w:sz w:val="24"/>
          <w:szCs w:val="24"/>
          <w:lang w:val="en-US"/>
        </w:rPr>
        <w:t xml:space="preserve"> diakses pada 18 September 2015</w:t>
      </w:r>
    </w:p>
    <w:p w:rsidR="00E651F3" w:rsidRPr="00BC41CD" w:rsidRDefault="00A75729" w:rsidP="00853056">
      <w:pPr>
        <w:pStyle w:val="Heading1"/>
        <w:numPr>
          <w:ilvl w:val="3"/>
          <w:numId w:val="4"/>
        </w:numPr>
        <w:spacing w:line="360" w:lineRule="auto"/>
        <w:ind w:left="360"/>
        <w:jc w:val="both"/>
        <w:rPr>
          <w:b w:val="0"/>
          <w:sz w:val="24"/>
          <w:szCs w:val="24"/>
          <w:lang w:val="en-US"/>
        </w:rPr>
      </w:pPr>
      <w:r w:rsidRPr="00B31DAA">
        <w:rPr>
          <w:b w:val="0"/>
          <w:sz w:val="24"/>
          <w:szCs w:val="24"/>
          <w:lang w:val="en-US"/>
        </w:rPr>
        <w:t xml:space="preserve">Katzung </w:t>
      </w:r>
      <w:r w:rsidR="00BC41CD" w:rsidRPr="00B31DAA">
        <w:rPr>
          <w:b w:val="0"/>
          <w:sz w:val="24"/>
          <w:szCs w:val="24"/>
          <w:lang w:val="en-US"/>
        </w:rPr>
        <w:t>BG, Masters SB, Trevor AJ.</w:t>
      </w:r>
      <w:r w:rsidRPr="00B31DAA">
        <w:rPr>
          <w:b w:val="0"/>
          <w:sz w:val="24"/>
          <w:szCs w:val="24"/>
          <w:lang w:val="en-US"/>
        </w:rPr>
        <w:t xml:space="preserve"> Basic and Clinical </w:t>
      </w:r>
      <w:r w:rsidRPr="00BC41CD">
        <w:rPr>
          <w:b w:val="0"/>
          <w:sz w:val="24"/>
          <w:szCs w:val="24"/>
          <w:lang w:val="en-US"/>
        </w:rPr>
        <w:t>Pharmacology 11</w:t>
      </w:r>
      <w:r w:rsidRPr="00BC41CD">
        <w:rPr>
          <w:b w:val="0"/>
          <w:sz w:val="24"/>
          <w:szCs w:val="24"/>
          <w:vertAlign w:val="superscript"/>
          <w:lang w:val="en-US"/>
        </w:rPr>
        <w:t>th</w:t>
      </w:r>
      <w:r w:rsidRPr="00BC41CD">
        <w:rPr>
          <w:b w:val="0"/>
          <w:sz w:val="24"/>
          <w:szCs w:val="24"/>
          <w:lang w:val="en-US"/>
        </w:rPr>
        <w:t xml:space="preserve"> Edition. USA: The McGraw-Hill Companies, Inc</w:t>
      </w:r>
      <w:r w:rsidR="00BC41CD">
        <w:rPr>
          <w:b w:val="0"/>
          <w:sz w:val="24"/>
          <w:szCs w:val="24"/>
          <w:lang w:val="en-US"/>
        </w:rPr>
        <w:t>. 2010</w:t>
      </w:r>
    </w:p>
    <w:p w:rsidR="00E651F3" w:rsidRPr="00BC41CD" w:rsidRDefault="00A75729" w:rsidP="00853056">
      <w:pPr>
        <w:pStyle w:val="Heading1"/>
        <w:numPr>
          <w:ilvl w:val="3"/>
          <w:numId w:val="4"/>
        </w:numPr>
        <w:spacing w:line="360" w:lineRule="auto"/>
        <w:ind w:left="360"/>
        <w:jc w:val="both"/>
        <w:rPr>
          <w:b w:val="0"/>
          <w:sz w:val="24"/>
          <w:szCs w:val="24"/>
          <w:lang w:val="en-US"/>
        </w:rPr>
      </w:pPr>
      <w:r w:rsidRPr="00BC41CD">
        <w:rPr>
          <w:b w:val="0"/>
          <w:sz w:val="24"/>
          <w:szCs w:val="24"/>
        </w:rPr>
        <w:lastRenderedPageBreak/>
        <w:t xml:space="preserve">Leukemia and Lymphoma Society. Chronic Myeloid Leukemia. </w:t>
      </w:r>
      <w:r w:rsidR="00BC41CD">
        <w:rPr>
          <w:b w:val="0"/>
          <w:sz w:val="24"/>
          <w:szCs w:val="24"/>
          <w:lang w:val="en-US"/>
        </w:rPr>
        <w:t xml:space="preserve">2012. </w:t>
      </w:r>
      <w:proofErr w:type="gramStart"/>
      <w:r w:rsidR="00BC41CD">
        <w:rPr>
          <w:b w:val="0"/>
          <w:sz w:val="24"/>
          <w:szCs w:val="24"/>
        </w:rPr>
        <w:t>h</w:t>
      </w:r>
      <w:r w:rsidRPr="00BC41CD">
        <w:rPr>
          <w:b w:val="0"/>
          <w:sz w:val="24"/>
          <w:szCs w:val="24"/>
        </w:rPr>
        <w:t>2</w:t>
      </w:r>
      <w:proofErr w:type="gramEnd"/>
    </w:p>
    <w:p w:rsidR="00E651F3" w:rsidRPr="00BC41CD" w:rsidRDefault="00A75729" w:rsidP="00853056">
      <w:pPr>
        <w:pStyle w:val="Heading1"/>
        <w:numPr>
          <w:ilvl w:val="3"/>
          <w:numId w:val="4"/>
        </w:numPr>
        <w:spacing w:line="360" w:lineRule="auto"/>
        <w:ind w:left="360"/>
        <w:jc w:val="both"/>
        <w:rPr>
          <w:b w:val="0"/>
          <w:sz w:val="24"/>
          <w:szCs w:val="24"/>
          <w:lang w:val="en-US"/>
        </w:rPr>
      </w:pPr>
      <w:r w:rsidRPr="00BC41CD">
        <w:rPr>
          <w:b w:val="0"/>
          <w:sz w:val="24"/>
          <w:szCs w:val="24"/>
          <w:lang w:val="en-US"/>
        </w:rPr>
        <w:t xml:space="preserve">Reksodiputro A </w:t>
      </w:r>
      <w:r w:rsidR="00BC41CD">
        <w:rPr>
          <w:b w:val="0"/>
          <w:sz w:val="24"/>
          <w:szCs w:val="24"/>
          <w:lang w:val="en-US"/>
        </w:rPr>
        <w:t>H, Tadjoedin H, Rinaldi I.</w:t>
      </w:r>
      <w:r w:rsidRPr="00BC41CD">
        <w:rPr>
          <w:b w:val="0"/>
          <w:sz w:val="24"/>
          <w:szCs w:val="24"/>
          <w:lang w:val="en-US"/>
        </w:rPr>
        <w:t xml:space="preserve"> Clinical Characteristic, Hematologic Response and Gene Mutation of Patients with Chronic Phase Chronic Myeloid Leukemia (CML) to Imatinib at Cipto Mangunkusumo National Hospital (RSUPN CM). Depok: Indonesian Journal of Cancer</w:t>
      </w:r>
      <w:r w:rsidR="00BC41CD">
        <w:rPr>
          <w:b w:val="0"/>
          <w:sz w:val="24"/>
          <w:szCs w:val="24"/>
          <w:lang w:val="en-US"/>
        </w:rPr>
        <w:t>. 2011.</w:t>
      </w:r>
      <w:r w:rsidRPr="00BC41CD">
        <w:rPr>
          <w:b w:val="0"/>
          <w:sz w:val="24"/>
          <w:szCs w:val="24"/>
          <w:lang w:val="en-US"/>
        </w:rPr>
        <w:t xml:space="preserve"> Vol 5, No 4</w:t>
      </w:r>
      <w:r w:rsidR="0087459E">
        <w:rPr>
          <w:b w:val="0"/>
          <w:sz w:val="24"/>
          <w:szCs w:val="24"/>
          <w:lang w:val="en-US"/>
        </w:rPr>
        <w:t>. h</w:t>
      </w:r>
      <w:r w:rsidRPr="00BC41CD">
        <w:rPr>
          <w:b w:val="0"/>
          <w:sz w:val="24"/>
          <w:szCs w:val="24"/>
          <w:lang w:val="en-US"/>
        </w:rPr>
        <w:t xml:space="preserve">149 </w:t>
      </w:r>
    </w:p>
    <w:p w:rsidR="00E651F3" w:rsidRPr="00BC41CD" w:rsidRDefault="00A75729" w:rsidP="00853056">
      <w:pPr>
        <w:pStyle w:val="Heading1"/>
        <w:numPr>
          <w:ilvl w:val="3"/>
          <w:numId w:val="4"/>
        </w:numPr>
        <w:spacing w:line="360" w:lineRule="auto"/>
        <w:ind w:left="360"/>
        <w:jc w:val="both"/>
        <w:rPr>
          <w:b w:val="0"/>
          <w:sz w:val="24"/>
          <w:szCs w:val="24"/>
          <w:lang w:val="en-US"/>
        </w:rPr>
      </w:pPr>
      <w:r w:rsidRPr="00BC41CD">
        <w:rPr>
          <w:b w:val="0"/>
          <w:sz w:val="24"/>
          <w:szCs w:val="24"/>
        </w:rPr>
        <w:t xml:space="preserve">Au WY, Caguioa PB, Chuah C et </w:t>
      </w:r>
      <w:r w:rsidR="00BC41CD">
        <w:rPr>
          <w:b w:val="0"/>
          <w:sz w:val="24"/>
          <w:szCs w:val="24"/>
        </w:rPr>
        <w:t>al</w:t>
      </w:r>
      <w:r w:rsidRPr="00BC41CD">
        <w:rPr>
          <w:b w:val="0"/>
          <w:sz w:val="24"/>
          <w:szCs w:val="24"/>
        </w:rPr>
        <w:t xml:space="preserve">. Chronic Myeloid Leukemia in Asia. Springer, International Journal of Hematology. </w:t>
      </w:r>
      <w:r w:rsidR="00BC41CD">
        <w:rPr>
          <w:b w:val="0"/>
          <w:sz w:val="24"/>
          <w:szCs w:val="24"/>
          <w:lang w:val="en-US"/>
        </w:rPr>
        <w:t xml:space="preserve">2008. </w:t>
      </w:r>
      <w:proofErr w:type="gramStart"/>
      <w:r w:rsidR="00BC41CD">
        <w:rPr>
          <w:b w:val="0"/>
          <w:sz w:val="24"/>
          <w:szCs w:val="24"/>
        </w:rPr>
        <w:t>h</w:t>
      </w:r>
      <w:r w:rsidRPr="00BC41CD">
        <w:rPr>
          <w:b w:val="0"/>
          <w:sz w:val="24"/>
          <w:szCs w:val="24"/>
        </w:rPr>
        <w:t>15</w:t>
      </w:r>
      <w:proofErr w:type="gramEnd"/>
    </w:p>
    <w:p w:rsidR="00E651F3" w:rsidRPr="00BC41CD" w:rsidRDefault="00BC41CD" w:rsidP="00853056">
      <w:pPr>
        <w:pStyle w:val="Heading1"/>
        <w:numPr>
          <w:ilvl w:val="3"/>
          <w:numId w:val="4"/>
        </w:numPr>
        <w:spacing w:line="360" w:lineRule="auto"/>
        <w:ind w:left="360"/>
        <w:jc w:val="both"/>
        <w:rPr>
          <w:b w:val="0"/>
          <w:sz w:val="24"/>
          <w:szCs w:val="24"/>
          <w:lang w:val="en-US"/>
        </w:rPr>
      </w:pPr>
      <w:r>
        <w:rPr>
          <w:b w:val="0"/>
          <w:sz w:val="24"/>
          <w:szCs w:val="24"/>
          <w:lang w:val="en-US"/>
        </w:rPr>
        <w:t>Balducci L, Dolan D</w:t>
      </w:r>
      <w:r w:rsidR="00A75729" w:rsidRPr="00BC41CD">
        <w:rPr>
          <w:b w:val="0"/>
          <w:sz w:val="24"/>
          <w:szCs w:val="24"/>
          <w:lang w:val="en-US"/>
        </w:rPr>
        <w:t xml:space="preserve">. Chronic Myelogenous Leukemia (CML) in </w:t>
      </w:r>
      <w:proofErr w:type="gramStart"/>
      <w:r w:rsidR="00A75729" w:rsidRPr="00BC41CD">
        <w:rPr>
          <w:b w:val="0"/>
          <w:sz w:val="24"/>
          <w:szCs w:val="24"/>
          <w:lang w:val="en-US"/>
        </w:rPr>
        <w:t>The</w:t>
      </w:r>
      <w:proofErr w:type="gramEnd"/>
      <w:r w:rsidR="00A75729" w:rsidRPr="00BC41CD">
        <w:rPr>
          <w:b w:val="0"/>
          <w:sz w:val="24"/>
          <w:szCs w:val="24"/>
          <w:lang w:val="en-US"/>
        </w:rPr>
        <w:t xml:space="preserve"> Elderly. Florida: Mediterranean Journal of Hematology and Infectious Diseases. </w:t>
      </w:r>
      <w:r>
        <w:rPr>
          <w:b w:val="0"/>
          <w:sz w:val="24"/>
          <w:szCs w:val="24"/>
          <w:lang w:val="en-US"/>
        </w:rPr>
        <w:t>2014. h</w:t>
      </w:r>
      <w:r w:rsidR="00A75729" w:rsidRPr="00BC41CD">
        <w:rPr>
          <w:b w:val="0"/>
          <w:sz w:val="24"/>
          <w:szCs w:val="24"/>
          <w:lang w:val="en-US"/>
        </w:rPr>
        <w:t>1-2</w:t>
      </w:r>
    </w:p>
    <w:p w:rsidR="00E651F3" w:rsidRPr="00B31DAA" w:rsidRDefault="00A75729" w:rsidP="00853056">
      <w:pPr>
        <w:pStyle w:val="Heading1"/>
        <w:numPr>
          <w:ilvl w:val="3"/>
          <w:numId w:val="4"/>
        </w:numPr>
        <w:spacing w:line="360" w:lineRule="auto"/>
        <w:ind w:left="360"/>
        <w:jc w:val="both"/>
        <w:rPr>
          <w:b w:val="0"/>
          <w:sz w:val="24"/>
          <w:szCs w:val="24"/>
          <w:lang w:val="en-US"/>
        </w:rPr>
      </w:pPr>
      <w:r w:rsidRPr="00BC41CD">
        <w:rPr>
          <w:b w:val="0"/>
          <w:sz w:val="24"/>
          <w:szCs w:val="24"/>
          <w:lang w:val="en-US"/>
        </w:rPr>
        <w:t>Sahin F,</w:t>
      </w:r>
      <w:r w:rsidR="00BC41CD">
        <w:rPr>
          <w:b w:val="0"/>
          <w:sz w:val="24"/>
          <w:szCs w:val="24"/>
          <w:lang w:val="en-US"/>
        </w:rPr>
        <w:t xml:space="preserve"> Saydam G, Comert M dkk</w:t>
      </w:r>
      <w:r w:rsidRPr="00BC41CD">
        <w:rPr>
          <w:b w:val="0"/>
          <w:sz w:val="24"/>
          <w:szCs w:val="24"/>
          <w:lang w:val="en-US"/>
        </w:rPr>
        <w:t xml:space="preserve">. Turkish Chronic Myeloid Leukemia Study: Retrospective Sectional </w:t>
      </w:r>
      <w:r w:rsidRPr="00B31DAA">
        <w:rPr>
          <w:b w:val="0"/>
          <w:sz w:val="24"/>
          <w:szCs w:val="24"/>
          <w:lang w:val="en-US"/>
        </w:rPr>
        <w:t>Analysis of CML Patients. Turkey: Turk J Hematol</w:t>
      </w:r>
      <w:r w:rsidR="00BC41CD" w:rsidRPr="00B31DAA">
        <w:rPr>
          <w:b w:val="0"/>
          <w:sz w:val="24"/>
          <w:szCs w:val="24"/>
          <w:lang w:val="en-US"/>
        </w:rPr>
        <w:t>. 2013.</w:t>
      </w:r>
      <w:r w:rsidRPr="00B31DAA">
        <w:rPr>
          <w:b w:val="0"/>
          <w:sz w:val="24"/>
          <w:szCs w:val="24"/>
          <w:lang w:val="en-US"/>
        </w:rPr>
        <w:t xml:space="preserve"> Vol 30:</w:t>
      </w:r>
      <w:r w:rsidR="00BC41CD" w:rsidRPr="00B31DAA">
        <w:rPr>
          <w:b w:val="0"/>
          <w:sz w:val="24"/>
          <w:szCs w:val="24"/>
          <w:lang w:val="en-US"/>
        </w:rPr>
        <w:t xml:space="preserve"> h</w:t>
      </w:r>
      <w:r w:rsidRPr="00B31DAA">
        <w:rPr>
          <w:b w:val="0"/>
          <w:sz w:val="24"/>
          <w:szCs w:val="24"/>
          <w:lang w:val="en-US"/>
        </w:rPr>
        <w:t>351-8</w:t>
      </w:r>
    </w:p>
    <w:p w:rsidR="00E651F3" w:rsidRPr="00B31DAA" w:rsidRDefault="00A75729" w:rsidP="00853056">
      <w:pPr>
        <w:pStyle w:val="Heading1"/>
        <w:numPr>
          <w:ilvl w:val="3"/>
          <w:numId w:val="4"/>
        </w:numPr>
        <w:spacing w:line="360" w:lineRule="auto"/>
        <w:ind w:left="360"/>
        <w:jc w:val="both"/>
        <w:rPr>
          <w:b w:val="0"/>
          <w:sz w:val="24"/>
          <w:szCs w:val="24"/>
          <w:lang w:val="en-US"/>
        </w:rPr>
      </w:pPr>
      <w:r w:rsidRPr="00B31DAA">
        <w:rPr>
          <w:b w:val="0"/>
          <w:sz w:val="24"/>
          <w:szCs w:val="24"/>
          <w:lang w:val="en-US"/>
        </w:rPr>
        <w:t xml:space="preserve">DeGennaro LJ. 2014. The CML Guide Information for Patients and Caregivers Chronic Myeloid Leukemia [Online] Tersedia di: </w:t>
      </w:r>
      <w:hyperlink r:id="rId7" w:history="1">
        <w:r w:rsidRPr="00B31DAA">
          <w:rPr>
            <w:rStyle w:val="Hyperlink"/>
            <w:b w:val="0"/>
            <w:color w:val="auto"/>
            <w:sz w:val="24"/>
            <w:szCs w:val="24"/>
            <w:lang w:val="en-US"/>
          </w:rPr>
          <w:t>https://www.lls.org/sites/default/file</w:t>
        </w:r>
        <w:r w:rsidRPr="00B31DAA">
          <w:rPr>
            <w:rStyle w:val="Hyperlink"/>
            <w:b w:val="0"/>
            <w:color w:val="auto"/>
            <w:sz w:val="24"/>
            <w:szCs w:val="24"/>
            <w:lang w:val="en-US"/>
          </w:rPr>
          <w:lastRenderedPageBreak/>
          <w:t>s/file_assets/cmlguide.pdf</w:t>
        </w:r>
      </w:hyperlink>
      <w:r w:rsidRPr="00B31DAA">
        <w:rPr>
          <w:b w:val="0"/>
          <w:sz w:val="24"/>
          <w:szCs w:val="24"/>
          <w:lang w:val="en-US"/>
        </w:rPr>
        <w:t xml:space="preserve"> diakses pada 14 November 2015</w:t>
      </w:r>
    </w:p>
    <w:p w:rsidR="00E651F3" w:rsidRPr="00B31DAA" w:rsidRDefault="00A75729" w:rsidP="00853056">
      <w:pPr>
        <w:pStyle w:val="Heading1"/>
        <w:numPr>
          <w:ilvl w:val="3"/>
          <w:numId w:val="4"/>
        </w:numPr>
        <w:spacing w:line="360" w:lineRule="auto"/>
        <w:ind w:left="360"/>
        <w:jc w:val="both"/>
        <w:rPr>
          <w:b w:val="0"/>
          <w:sz w:val="24"/>
          <w:szCs w:val="24"/>
          <w:lang w:val="en-US"/>
        </w:rPr>
      </w:pPr>
      <w:r w:rsidRPr="00B31DAA">
        <w:rPr>
          <w:b w:val="0"/>
          <w:sz w:val="24"/>
          <w:szCs w:val="24"/>
          <w:lang w:val="en-US"/>
        </w:rPr>
        <w:t>S</w:t>
      </w:r>
      <w:r w:rsidR="00BC41CD" w:rsidRPr="00B31DAA">
        <w:rPr>
          <w:b w:val="0"/>
          <w:sz w:val="24"/>
          <w:szCs w:val="24"/>
          <w:lang w:val="en-US"/>
        </w:rPr>
        <w:t>avage DG, Szydlo RM, Goldman JM</w:t>
      </w:r>
      <w:r w:rsidRPr="00B31DAA">
        <w:rPr>
          <w:b w:val="0"/>
          <w:sz w:val="24"/>
          <w:szCs w:val="24"/>
          <w:lang w:val="en-US"/>
        </w:rPr>
        <w:t xml:space="preserve">. Clinical Features at Diagnosis in 430 Patients with Chronic Myeloid Leukaemia Seen at a Referral Centre </w:t>
      </w:r>
      <w:proofErr w:type="gramStart"/>
      <w:r w:rsidRPr="00B31DAA">
        <w:rPr>
          <w:b w:val="0"/>
          <w:sz w:val="24"/>
          <w:szCs w:val="24"/>
          <w:lang w:val="en-US"/>
        </w:rPr>
        <w:t>Over</w:t>
      </w:r>
      <w:proofErr w:type="gramEnd"/>
      <w:r w:rsidRPr="00B31DAA">
        <w:rPr>
          <w:b w:val="0"/>
          <w:sz w:val="24"/>
          <w:szCs w:val="24"/>
          <w:lang w:val="en-US"/>
        </w:rPr>
        <w:t xml:space="preserve"> a 16-Year Period. London: British Journal of Haematology. </w:t>
      </w:r>
      <w:r w:rsidR="00BC41CD" w:rsidRPr="00B31DAA">
        <w:rPr>
          <w:b w:val="0"/>
          <w:sz w:val="24"/>
          <w:szCs w:val="24"/>
          <w:lang w:val="en-US"/>
        </w:rPr>
        <w:t>1997. h</w:t>
      </w:r>
      <w:r w:rsidRPr="00B31DAA">
        <w:rPr>
          <w:b w:val="0"/>
          <w:sz w:val="24"/>
          <w:szCs w:val="24"/>
          <w:lang w:val="en-US"/>
        </w:rPr>
        <w:t>111-5</w:t>
      </w:r>
    </w:p>
    <w:p w:rsidR="00E651F3" w:rsidRPr="00B31DAA" w:rsidRDefault="00A75729" w:rsidP="00853056">
      <w:pPr>
        <w:pStyle w:val="Heading1"/>
        <w:numPr>
          <w:ilvl w:val="3"/>
          <w:numId w:val="4"/>
        </w:numPr>
        <w:spacing w:line="360" w:lineRule="auto"/>
        <w:ind w:left="360"/>
        <w:jc w:val="both"/>
        <w:rPr>
          <w:b w:val="0"/>
          <w:sz w:val="24"/>
          <w:szCs w:val="24"/>
          <w:lang w:val="en-US"/>
        </w:rPr>
      </w:pPr>
      <w:r w:rsidRPr="00B31DAA">
        <w:rPr>
          <w:b w:val="0"/>
          <w:sz w:val="24"/>
          <w:szCs w:val="24"/>
          <w:lang w:val="en-US"/>
        </w:rPr>
        <w:t xml:space="preserve">Sobecks RM, Theil K. 2014. Chronic Leukemias. [Online] Tersedia di: </w:t>
      </w:r>
      <w:hyperlink r:id="rId8" w:history="1">
        <w:r w:rsidRPr="00B31DAA">
          <w:rPr>
            <w:rStyle w:val="Hyperlink"/>
            <w:b w:val="0"/>
            <w:color w:val="auto"/>
            <w:sz w:val="24"/>
            <w:szCs w:val="24"/>
            <w:lang w:val="en-US"/>
          </w:rPr>
          <w:t>www.clevelandclinicmeded.com/medicalpubs/diseasemanagement/hematology-oncology/chronic-leukemias</w:t>
        </w:r>
      </w:hyperlink>
      <w:r w:rsidRPr="00B31DAA">
        <w:rPr>
          <w:b w:val="0"/>
          <w:sz w:val="24"/>
          <w:szCs w:val="24"/>
          <w:lang w:val="en-US"/>
        </w:rPr>
        <w:t xml:space="preserve"> diakses pada 14 November 2015</w:t>
      </w:r>
    </w:p>
    <w:p w:rsidR="00E651F3" w:rsidRPr="00BC41CD" w:rsidRDefault="00BC41CD" w:rsidP="00853056">
      <w:pPr>
        <w:pStyle w:val="Heading1"/>
        <w:numPr>
          <w:ilvl w:val="3"/>
          <w:numId w:val="4"/>
        </w:numPr>
        <w:spacing w:line="360" w:lineRule="auto"/>
        <w:ind w:left="360"/>
        <w:jc w:val="both"/>
        <w:rPr>
          <w:b w:val="0"/>
          <w:sz w:val="24"/>
          <w:szCs w:val="24"/>
          <w:lang w:val="en-US"/>
        </w:rPr>
      </w:pPr>
      <w:r w:rsidRPr="00B31DAA">
        <w:rPr>
          <w:b w:val="0"/>
          <w:sz w:val="24"/>
          <w:szCs w:val="24"/>
          <w:lang w:val="en-US"/>
        </w:rPr>
        <w:t>Longo, Fauci, Kasper et al</w:t>
      </w:r>
      <w:r w:rsidR="00A75729" w:rsidRPr="00B31DAA">
        <w:rPr>
          <w:b w:val="0"/>
          <w:sz w:val="24"/>
          <w:szCs w:val="24"/>
          <w:lang w:val="en-US"/>
        </w:rPr>
        <w:t xml:space="preserve">. </w:t>
      </w:r>
      <w:r w:rsidR="00A75729" w:rsidRPr="00BC41CD">
        <w:rPr>
          <w:b w:val="0"/>
          <w:sz w:val="24"/>
          <w:szCs w:val="24"/>
          <w:lang w:val="en-US"/>
        </w:rPr>
        <w:t xml:space="preserve">Harrison’s Principles of Internal Medicine 8 edition. USA: The McGraw-Hill Companies, Inc. </w:t>
      </w:r>
      <w:r>
        <w:rPr>
          <w:b w:val="0"/>
          <w:sz w:val="24"/>
          <w:szCs w:val="24"/>
          <w:lang w:val="en-US"/>
        </w:rPr>
        <w:t xml:space="preserve">2012. </w:t>
      </w:r>
      <w:proofErr w:type="gramStart"/>
      <w:r>
        <w:rPr>
          <w:b w:val="0"/>
          <w:sz w:val="24"/>
          <w:szCs w:val="24"/>
          <w:lang w:val="en-US"/>
        </w:rPr>
        <w:t>h</w:t>
      </w:r>
      <w:r w:rsidR="00A75729" w:rsidRPr="00BC41CD">
        <w:rPr>
          <w:b w:val="0"/>
          <w:sz w:val="24"/>
          <w:szCs w:val="24"/>
          <w:lang w:val="en-US"/>
        </w:rPr>
        <w:t>2065-69</w:t>
      </w:r>
      <w:proofErr w:type="gramEnd"/>
      <w:r w:rsidR="00A75729" w:rsidRPr="00BC41CD">
        <w:rPr>
          <w:b w:val="0"/>
          <w:sz w:val="24"/>
          <w:szCs w:val="24"/>
          <w:lang w:val="en-US"/>
        </w:rPr>
        <w:t xml:space="preserve"> </w:t>
      </w:r>
    </w:p>
    <w:p w:rsidR="00E651F3" w:rsidRPr="00BC41CD" w:rsidRDefault="00BC41CD" w:rsidP="00853056">
      <w:pPr>
        <w:pStyle w:val="Heading1"/>
        <w:numPr>
          <w:ilvl w:val="3"/>
          <w:numId w:val="4"/>
        </w:numPr>
        <w:spacing w:line="360" w:lineRule="auto"/>
        <w:ind w:left="360"/>
        <w:jc w:val="both"/>
        <w:rPr>
          <w:b w:val="0"/>
          <w:sz w:val="24"/>
          <w:szCs w:val="24"/>
          <w:lang w:val="en-US"/>
        </w:rPr>
      </w:pPr>
      <w:r>
        <w:rPr>
          <w:b w:val="0"/>
          <w:sz w:val="24"/>
          <w:szCs w:val="24"/>
          <w:lang w:val="en-US"/>
        </w:rPr>
        <w:t>Simamora</w:t>
      </w:r>
      <w:r w:rsidR="00A75729" w:rsidRPr="00BC41CD">
        <w:rPr>
          <w:b w:val="0"/>
          <w:sz w:val="24"/>
          <w:szCs w:val="24"/>
          <w:lang w:val="en-US"/>
        </w:rPr>
        <w:t xml:space="preserve">. Karakteristik Penderita Leukemia Rawat Inap Di RSUP H.Adam Malik Medan Tahun 2004-2007. Medan: FKM Univ. Sumatera Utara. </w:t>
      </w:r>
      <w:r>
        <w:rPr>
          <w:b w:val="0"/>
          <w:sz w:val="24"/>
          <w:szCs w:val="24"/>
          <w:lang w:val="en-US"/>
        </w:rPr>
        <w:t xml:space="preserve">2009. </w:t>
      </w:r>
      <w:proofErr w:type="gramStart"/>
      <w:r>
        <w:rPr>
          <w:b w:val="0"/>
          <w:sz w:val="24"/>
          <w:szCs w:val="24"/>
          <w:lang w:val="en-US"/>
        </w:rPr>
        <w:t>h</w:t>
      </w:r>
      <w:r w:rsidR="00A75729" w:rsidRPr="00BC41CD">
        <w:rPr>
          <w:b w:val="0"/>
          <w:sz w:val="24"/>
          <w:szCs w:val="24"/>
          <w:lang w:val="en-US"/>
        </w:rPr>
        <w:t>41</w:t>
      </w:r>
      <w:proofErr w:type="gramEnd"/>
    </w:p>
    <w:p w:rsidR="00E651F3" w:rsidRPr="00BC41CD" w:rsidRDefault="00BC41CD" w:rsidP="00853056">
      <w:pPr>
        <w:pStyle w:val="Heading1"/>
        <w:numPr>
          <w:ilvl w:val="3"/>
          <w:numId w:val="4"/>
        </w:numPr>
        <w:spacing w:line="360" w:lineRule="auto"/>
        <w:ind w:left="360"/>
        <w:jc w:val="both"/>
        <w:rPr>
          <w:b w:val="0"/>
          <w:sz w:val="24"/>
          <w:szCs w:val="24"/>
          <w:lang w:val="en-US"/>
        </w:rPr>
      </w:pPr>
      <w:proofErr w:type="gramStart"/>
      <w:r>
        <w:rPr>
          <w:b w:val="0"/>
          <w:sz w:val="24"/>
          <w:szCs w:val="24"/>
          <w:lang w:val="en-US"/>
        </w:rPr>
        <w:t>de</w:t>
      </w:r>
      <w:proofErr w:type="gramEnd"/>
      <w:r>
        <w:rPr>
          <w:b w:val="0"/>
          <w:sz w:val="24"/>
          <w:szCs w:val="24"/>
          <w:lang w:val="en-US"/>
        </w:rPr>
        <w:t xml:space="preserve"> Regil</w:t>
      </w:r>
      <w:r w:rsidR="00A75729" w:rsidRPr="00BC41CD">
        <w:rPr>
          <w:b w:val="0"/>
          <w:sz w:val="24"/>
          <w:szCs w:val="24"/>
          <w:lang w:val="en-US"/>
        </w:rPr>
        <w:t xml:space="preserve">. Haemoglobin Concentrations for </w:t>
      </w:r>
      <w:proofErr w:type="gramStart"/>
      <w:r w:rsidR="00A75729" w:rsidRPr="00BC41CD">
        <w:rPr>
          <w:b w:val="0"/>
          <w:sz w:val="24"/>
          <w:szCs w:val="24"/>
          <w:lang w:val="en-US"/>
        </w:rPr>
        <w:t>The</w:t>
      </w:r>
      <w:proofErr w:type="gramEnd"/>
      <w:r w:rsidR="00A75729" w:rsidRPr="00BC41CD">
        <w:rPr>
          <w:b w:val="0"/>
          <w:sz w:val="24"/>
          <w:szCs w:val="24"/>
          <w:lang w:val="en-US"/>
        </w:rPr>
        <w:t xml:space="preserve"> Diagnosis of Anaemia and Assessment of Severity. Geneva: WHO, Department of Nutrition for Health and Development</w:t>
      </w:r>
      <w:r>
        <w:rPr>
          <w:b w:val="0"/>
          <w:sz w:val="24"/>
          <w:szCs w:val="24"/>
          <w:lang w:val="en-US"/>
        </w:rPr>
        <w:t>. 2011</w:t>
      </w:r>
    </w:p>
    <w:p w:rsidR="00E651F3" w:rsidRPr="00BC41CD" w:rsidRDefault="00BC41CD" w:rsidP="00853056">
      <w:pPr>
        <w:pStyle w:val="Heading1"/>
        <w:numPr>
          <w:ilvl w:val="3"/>
          <w:numId w:val="4"/>
        </w:numPr>
        <w:spacing w:line="360" w:lineRule="auto"/>
        <w:ind w:left="360"/>
        <w:jc w:val="both"/>
        <w:rPr>
          <w:b w:val="0"/>
          <w:sz w:val="24"/>
          <w:szCs w:val="24"/>
          <w:lang w:val="en-US"/>
        </w:rPr>
      </w:pPr>
      <w:r>
        <w:rPr>
          <w:b w:val="0"/>
          <w:sz w:val="24"/>
          <w:szCs w:val="24"/>
          <w:lang w:val="en-US"/>
        </w:rPr>
        <w:t>Bakta M</w:t>
      </w:r>
      <w:r w:rsidR="00A75729" w:rsidRPr="00BC41CD">
        <w:rPr>
          <w:b w:val="0"/>
          <w:sz w:val="24"/>
          <w:szCs w:val="24"/>
          <w:lang w:val="en-US"/>
        </w:rPr>
        <w:t>. Hematologi Klinis Ringkas. Jakarta: ECG</w:t>
      </w:r>
      <w:r>
        <w:rPr>
          <w:b w:val="0"/>
          <w:sz w:val="24"/>
          <w:szCs w:val="24"/>
          <w:lang w:val="en-US"/>
        </w:rPr>
        <w:t>. 2006</w:t>
      </w:r>
    </w:p>
    <w:p w:rsidR="00E651F3" w:rsidRPr="00BC41CD" w:rsidRDefault="00BC41CD" w:rsidP="00853056">
      <w:pPr>
        <w:pStyle w:val="Heading1"/>
        <w:numPr>
          <w:ilvl w:val="3"/>
          <w:numId w:val="4"/>
        </w:numPr>
        <w:spacing w:line="360" w:lineRule="auto"/>
        <w:ind w:left="360"/>
        <w:jc w:val="both"/>
        <w:rPr>
          <w:b w:val="0"/>
          <w:sz w:val="24"/>
          <w:szCs w:val="24"/>
          <w:lang w:val="en-US"/>
        </w:rPr>
      </w:pPr>
      <w:r>
        <w:rPr>
          <w:b w:val="0"/>
          <w:sz w:val="24"/>
          <w:szCs w:val="24"/>
          <w:lang w:val="en-US"/>
        </w:rPr>
        <w:lastRenderedPageBreak/>
        <w:t>Hakiki H</w:t>
      </w:r>
      <w:r w:rsidR="00A75729" w:rsidRPr="00BC41CD">
        <w:rPr>
          <w:b w:val="0"/>
          <w:sz w:val="24"/>
          <w:szCs w:val="24"/>
          <w:lang w:val="en-US"/>
        </w:rPr>
        <w:t xml:space="preserve">. Manifestasi Klinis dan Gambaran Laboratorik Leukemia Mieloid Kronik di RSUP DR. Kariadi Periode 1 Januari 2005-31 Maret 2007. Semarang: FK Univ. Diponegoro. </w:t>
      </w:r>
      <w:r>
        <w:rPr>
          <w:b w:val="0"/>
          <w:sz w:val="24"/>
          <w:szCs w:val="24"/>
          <w:lang w:val="en-US"/>
        </w:rPr>
        <w:t xml:space="preserve">2008. </w:t>
      </w:r>
      <w:proofErr w:type="gramStart"/>
      <w:r>
        <w:rPr>
          <w:b w:val="0"/>
          <w:sz w:val="24"/>
          <w:szCs w:val="24"/>
          <w:lang w:val="en-US"/>
        </w:rPr>
        <w:t>h</w:t>
      </w:r>
      <w:r w:rsidR="00A75729" w:rsidRPr="00BC41CD">
        <w:rPr>
          <w:b w:val="0"/>
          <w:sz w:val="24"/>
          <w:szCs w:val="24"/>
          <w:lang w:val="en-US"/>
        </w:rPr>
        <w:t>10</w:t>
      </w:r>
      <w:proofErr w:type="gramEnd"/>
    </w:p>
    <w:p w:rsidR="00E651F3" w:rsidRPr="00BC41CD" w:rsidRDefault="00A75729" w:rsidP="00853056">
      <w:pPr>
        <w:pStyle w:val="Heading1"/>
        <w:numPr>
          <w:ilvl w:val="3"/>
          <w:numId w:val="4"/>
        </w:numPr>
        <w:spacing w:line="360" w:lineRule="auto"/>
        <w:ind w:left="360"/>
        <w:jc w:val="both"/>
        <w:rPr>
          <w:b w:val="0"/>
          <w:sz w:val="24"/>
          <w:szCs w:val="24"/>
          <w:lang w:val="en-US"/>
        </w:rPr>
      </w:pPr>
      <w:r w:rsidRPr="00BC41CD">
        <w:rPr>
          <w:b w:val="0"/>
          <w:sz w:val="24"/>
          <w:szCs w:val="24"/>
          <w:lang w:val="en-US"/>
        </w:rPr>
        <w:t>Ren</w:t>
      </w:r>
      <w:r w:rsidR="00BC41CD">
        <w:rPr>
          <w:b w:val="0"/>
          <w:sz w:val="24"/>
          <w:szCs w:val="24"/>
          <w:lang w:val="en-US"/>
        </w:rPr>
        <w:t>dra M, Yaswir R, Hanif AM.</w:t>
      </w:r>
      <w:r w:rsidRPr="00BC41CD">
        <w:rPr>
          <w:b w:val="0"/>
          <w:sz w:val="24"/>
          <w:szCs w:val="24"/>
          <w:lang w:val="en-US"/>
        </w:rPr>
        <w:t xml:space="preserve"> Gambaran Laboratorium Leukemia Kronik di Bagian Penyakit Dalam RSUP Dr. M. Djamil Padang. Padang</w:t>
      </w:r>
      <w:r w:rsidR="00BC41CD">
        <w:rPr>
          <w:b w:val="0"/>
          <w:sz w:val="24"/>
          <w:szCs w:val="24"/>
          <w:lang w:val="en-US"/>
        </w:rPr>
        <w:t>: Jurnal Kesehatan Andalas. 2013. h</w:t>
      </w:r>
      <w:r w:rsidRPr="00BC41CD">
        <w:rPr>
          <w:b w:val="0"/>
          <w:sz w:val="24"/>
          <w:szCs w:val="24"/>
          <w:lang w:val="en-US"/>
        </w:rPr>
        <w:t>141-5</w:t>
      </w:r>
    </w:p>
    <w:p w:rsidR="00A75729" w:rsidRPr="00BC41CD" w:rsidRDefault="00A75729" w:rsidP="00853056">
      <w:pPr>
        <w:pStyle w:val="Heading1"/>
        <w:numPr>
          <w:ilvl w:val="3"/>
          <w:numId w:val="4"/>
        </w:numPr>
        <w:spacing w:line="360" w:lineRule="auto"/>
        <w:ind w:left="360"/>
        <w:jc w:val="both"/>
        <w:rPr>
          <w:b w:val="0"/>
          <w:sz w:val="24"/>
          <w:szCs w:val="24"/>
          <w:lang w:val="en-US"/>
        </w:rPr>
      </w:pPr>
      <w:r w:rsidRPr="00BC41CD">
        <w:rPr>
          <w:b w:val="0"/>
          <w:sz w:val="24"/>
          <w:szCs w:val="24"/>
          <w:lang w:val="en-US"/>
        </w:rPr>
        <w:t>Reksodiputro H,</w:t>
      </w:r>
      <w:r w:rsidR="0087459E">
        <w:rPr>
          <w:b w:val="0"/>
          <w:sz w:val="24"/>
          <w:szCs w:val="24"/>
          <w:lang w:val="en-US"/>
        </w:rPr>
        <w:t xml:space="preserve"> Tadjoedin H, Supandiman I dkk</w:t>
      </w:r>
      <w:r w:rsidRPr="00BC41CD">
        <w:rPr>
          <w:b w:val="0"/>
          <w:sz w:val="24"/>
          <w:szCs w:val="24"/>
          <w:lang w:val="en-US"/>
        </w:rPr>
        <w:t>. Epidemiology Study and Mutation Profile of Patients with Chronic Myeloid Leukemia (CML) in Indonesia. Jakarta: J Blood Disord Transfus</w:t>
      </w:r>
      <w:r w:rsidR="0087459E">
        <w:rPr>
          <w:b w:val="0"/>
          <w:sz w:val="24"/>
          <w:szCs w:val="24"/>
          <w:lang w:val="en-US"/>
        </w:rPr>
        <w:t>. 2015.</w:t>
      </w:r>
      <w:r w:rsidRPr="00BC41CD">
        <w:rPr>
          <w:b w:val="0"/>
          <w:sz w:val="24"/>
          <w:szCs w:val="24"/>
          <w:lang w:val="en-US"/>
        </w:rPr>
        <w:t xml:space="preserve"> Vol 6:</w:t>
      </w:r>
      <w:r w:rsidR="0087459E">
        <w:rPr>
          <w:b w:val="0"/>
          <w:sz w:val="24"/>
          <w:szCs w:val="24"/>
          <w:lang w:val="en-US"/>
        </w:rPr>
        <w:t xml:space="preserve"> h</w:t>
      </w:r>
      <w:r w:rsidRPr="00BC41CD">
        <w:rPr>
          <w:b w:val="0"/>
          <w:sz w:val="24"/>
          <w:szCs w:val="24"/>
          <w:lang w:val="en-US"/>
        </w:rPr>
        <w:t>271</w:t>
      </w:r>
    </w:p>
    <w:p w:rsidR="00C60914" w:rsidRPr="000109B6" w:rsidRDefault="00C60914" w:rsidP="007B2916">
      <w:pPr>
        <w:spacing w:before="240" w:line="240" w:lineRule="auto"/>
        <w:jc w:val="both"/>
        <w:rPr>
          <w:rFonts w:ascii="Times New Roman" w:hAnsi="Times New Roman"/>
          <w:sz w:val="24"/>
          <w:szCs w:val="24"/>
        </w:rPr>
      </w:pPr>
    </w:p>
    <w:sectPr w:rsidR="00C60914" w:rsidRPr="000109B6" w:rsidSect="003E1D6E">
      <w:type w:val="continuous"/>
      <w:pgSz w:w="11907" w:h="16839" w:code="9"/>
      <w:pgMar w:top="1440" w:right="1701" w:bottom="1440"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373F"/>
    <w:multiLevelType w:val="hybridMultilevel"/>
    <w:tmpl w:val="59D831B4"/>
    <w:lvl w:ilvl="0" w:tplc="EE2816FA">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34907"/>
    <w:multiLevelType w:val="hybridMultilevel"/>
    <w:tmpl w:val="DFE037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CF0C75"/>
    <w:multiLevelType w:val="hybridMultilevel"/>
    <w:tmpl w:val="9006DF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34DD8"/>
    <w:multiLevelType w:val="hybridMultilevel"/>
    <w:tmpl w:val="E6AE5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5E9651A"/>
    <w:multiLevelType w:val="hybridMultilevel"/>
    <w:tmpl w:val="9A68ECC4"/>
    <w:lvl w:ilvl="0" w:tplc="3E86027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E5533E"/>
    <w:multiLevelType w:val="hybridMultilevel"/>
    <w:tmpl w:val="C382E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A07604"/>
    <w:multiLevelType w:val="hybridMultilevel"/>
    <w:tmpl w:val="02C2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7D"/>
    <w:rsid w:val="000109B6"/>
    <w:rsid w:val="00037B8C"/>
    <w:rsid w:val="0007729E"/>
    <w:rsid w:val="00077508"/>
    <w:rsid w:val="000860DD"/>
    <w:rsid w:val="000C5582"/>
    <w:rsid w:val="000D2188"/>
    <w:rsid w:val="000D4566"/>
    <w:rsid w:val="00171CA9"/>
    <w:rsid w:val="001926FA"/>
    <w:rsid w:val="001A2C77"/>
    <w:rsid w:val="00273100"/>
    <w:rsid w:val="00296382"/>
    <w:rsid w:val="002C417A"/>
    <w:rsid w:val="002D6A40"/>
    <w:rsid w:val="00333BCE"/>
    <w:rsid w:val="003C2A25"/>
    <w:rsid w:val="003E1D6E"/>
    <w:rsid w:val="003F10B9"/>
    <w:rsid w:val="003F1A37"/>
    <w:rsid w:val="003F62F6"/>
    <w:rsid w:val="00403F61"/>
    <w:rsid w:val="004321ED"/>
    <w:rsid w:val="004A4C46"/>
    <w:rsid w:val="004E02D5"/>
    <w:rsid w:val="004F57A2"/>
    <w:rsid w:val="00507810"/>
    <w:rsid w:val="00564699"/>
    <w:rsid w:val="00566C47"/>
    <w:rsid w:val="00584D40"/>
    <w:rsid w:val="00597992"/>
    <w:rsid w:val="005A377D"/>
    <w:rsid w:val="006048F4"/>
    <w:rsid w:val="00613718"/>
    <w:rsid w:val="00633BA5"/>
    <w:rsid w:val="00636F2C"/>
    <w:rsid w:val="006437D7"/>
    <w:rsid w:val="006703EE"/>
    <w:rsid w:val="00671B2C"/>
    <w:rsid w:val="006C5937"/>
    <w:rsid w:val="006C79B3"/>
    <w:rsid w:val="006C7AA3"/>
    <w:rsid w:val="006D7639"/>
    <w:rsid w:val="006E43BB"/>
    <w:rsid w:val="00725498"/>
    <w:rsid w:val="007370F9"/>
    <w:rsid w:val="00757182"/>
    <w:rsid w:val="007668F7"/>
    <w:rsid w:val="00774701"/>
    <w:rsid w:val="007B2916"/>
    <w:rsid w:val="007C0078"/>
    <w:rsid w:val="007E0A67"/>
    <w:rsid w:val="0082460A"/>
    <w:rsid w:val="00830A5A"/>
    <w:rsid w:val="00845FDF"/>
    <w:rsid w:val="00853056"/>
    <w:rsid w:val="00862CAF"/>
    <w:rsid w:val="0087459E"/>
    <w:rsid w:val="008911DC"/>
    <w:rsid w:val="008C125E"/>
    <w:rsid w:val="008C4BA1"/>
    <w:rsid w:val="00901979"/>
    <w:rsid w:val="0096680C"/>
    <w:rsid w:val="00991D72"/>
    <w:rsid w:val="0099485C"/>
    <w:rsid w:val="009B2371"/>
    <w:rsid w:val="009C5EE2"/>
    <w:rsid w:val="009F2243"/>
    <w:rsid w:val="00A15CEF"/>
    <w:rsid w:val="00A45056"/>
    <w:rsid w:val="00A51C2A"/>
    <w:rsid w:val="00A61C57"/>
    <w:rsid w:val="00A75729"/>
    <w:rsid w:val="00A96A43"/>
    <w:rsid w:val="00AA3426"/>
    <w:rsid w:val="00AF45E3"/>
    <w:rsid w:val="00B0347A"/>
    <w:rsid w:val="00B17343"/>
    <w:rsid w:val="00B31DAA"/>
    <w:rsid w:val="00B84292"/>
    <w:rsid w:val="00BC1B99"/>
    <w:rsid w:val="00BC41CD"/>
    <w:rsid w:val="00BE1542"/>
    <w:rsid w:val="00C12E58"/>
    <w:rsid w:val="00C15476"/>
    <w:rsid w:val="00C31C07"/>
    <w:rsid w:val="00C551FA"/>
    <w:rsid w:val="00C60914"/>
    <w:rsid w:val="00C6156E"/>
    <w:rsid w:val="00CA26B5"/>
    <w:rsid w:val="00CA2BFC"/>
    <w:rsid w:val="00CB5812"/>
    <w:rsid w:val="00CF4896"/>
    <w:rsid w:val="00D41177"/>
    <w:rsid w:val="00D43981"/>
    <w:rsid w:val="00D43F09"/>
    <w:rsid w:val="00D4772F"/>
    <w:rsid w:val="00D61542"/>
    <w:rsid w:val="00D647CF"/>
    <w:rsid w:val="00D94558"/>
    <w:rsid w:val="00DD22AB"/>
    <w:rsid w:val="00DD3613"/>
    <w:rsid w:val="00DF33AC"/>
    <w:rsid w:val="00E10F25"/>
    <w:rsid w:val="00E52663"/>
    <w:rsid w:val="00E651F3"/>
    <w:rsid w:val="00E836F6"/>
    <w:rsid w:val="00E90EA5"/>
    <w:rsid w:val="00EC5DC7"/>
    <w:rsid w:val="00ED273B"/>
    <w:rsid w:val="00EE7517"/>
    <w:rsid w:val="00F051F1"/>
    <w:rsid w:val="00FE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7D"/>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C60914"/>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701"/>
    <w:rPr>
      <w:color w:val="0563C1" w:themeColor="hyperlink"/>
      <w:u w:val="single"/>
    </w:rPr>
  </w:style>
  <w:style w:type="paragraph" w:styleId="ListParagraph">
    <w:name w:val="List Paragraph"/>
    <w:basedOn w:val="Normal"/>
    <w:uiPriority w:val="34"/>
    <w:qFormat/>
    <w:rsid w:val="006E43BB"/>
    <w:pPr>
      <w:ind w:left="720"/>
      <w:contextualSpacing/>
    </w:pPr>
  </w:style>
  <w:style w:type="character" w:styleId="PlaceholderText">
    <w:name w:val="Placeholder Text"/>
    <w:uiPriority w:val="99"/>
    <w:semiHidden/>
    <w:rsid w:val="0099485C"/>
    <w:rPr>
      <w:color w:val="808080"/>
    </w:rPr>
  </w:style>
  <w:style w:type="character" w:customStyle="1" w:styleId="Heading1Char">
    <w:name w:val="Heading 1 Char"/>
    <w:basedOn w:val="DefaultParagraphFont"/>
    <w:link w:val="Heading1"/>
    <w:uiPriority w:val="9"/>
    <w:rsid w:val="00C60914"/>
    <w:rPr>
      <w:rFonts w:ascii="Times New Roman" w:eastAsia="Times New Roman" w:hAnsi="Times New Roman" w:cs="Times New Roman"/>
      <w:b/>
      <w:bCs/>
      <w:kern w:val="36"/>
      <w:sz w:val="48"/>
      <w:szCs w:val="48"/>
      <w:lang w:val="id-ID" w:eastAsia="id-ID"/>
    </w:rPr>
  </w:style>
  <w:style w:type="paragraph" w:styleId="BalloonText">
    <w:name w:val="Balloon Text"/>
    <w:basedOn w:val="Normal"/>
    <w:link w:val="BalloonTextChar"/>
    <w:uiPriority w:val="99"/>
    <w:semiHidden/>
    <w:unhideWhenUsed/>
    <w:rsid w:val="00725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9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7D"/>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C60914"/>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701"/>
    <w:rPr>
      <w:color w:val="0563C1" w:themeColor="hyperlink"/>
      <w:u w:val="single"/>
    </w:rPr>
  </w:style>
  <w:style w:type="paragraph" w:styleId="ListParagraph">
    <w:name w:val="List Paragraph"/>
    <w:basedOn w:val="Normal"/>
    <w:uiPriority w:val="34"/>
    <w:qFormat/>
    <w:rsid w:val="006E43BB"/>
    <w:pPr>
      <w:ind w:left="720"/>
      <w:contextualSpacing/>
    </w:pPr>
  </w:style>
  <w:style w:type="character" w:styleId="PlaceholderText">
    <w:name w:val="Placeholder Text"/>
    <w:uiPriority w:val="99"/>
    <w:semiHidden/>
    <w:rsid w:val="0099485C"/>
    <w:rPr>
      <w:color w:val="808080"/>
    </w:rPr>
  </w:style>
  <w:style w:type="character" w:customStyle="1" w:styleId="Heading1Char">
    <w:name w:val="Heading 1 Char"/>
    <w:basedOn w:val="DefaultParagraphFont"/>
    <w:link w:val="Heading1"/>
    <w:uiPriority w:val="9"/>
    <w:rsid w:val="00C60914"/>
    <w:rPr>
      <w:rFonts w:ascii="Times New Roman" w:eastAsia="Times New Roman" w:hAnsi="Times New Roman" w:cs="Times New Roman"/>
      <w:b/>
      <w:bCs/>
      <w:kern w:val="36"/>
      <w:sz w:val="48"/>
      <w:szCs w:val="48"/>
      <w:lang w:val="id-ID" w:eastAsia="id-ID"/>
    </w:rPr>
  </w:style>
  <w:style w:type="paragraph" w:styleId="BalloonText">
    <w:name w:val="Balloon Text"/>
    <w:basedOn w:val="Normal"/>
    <w:link w:val="BalloonTextChar"/>
    <w:uiPriority w:val="99"/>
    <w:semiHidden/>
    <w:unhideWhenUsed/>
    <w:rsid w:val="00725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9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263350">
      <w:bodyDiv w:val="1"/>
      <w:marLeft w:val="0"/>
      <w:marRight w:val="0"/>
      <w:marTop w:val="0"/>
      <w:marBottom w:val="0"/>
      <w:divBdr>
        <w:top w:val="none" w:sz="0" w:space="0" w:color="auto"/>
        <w:left w:val="none" w:sz="0" w:space="0" w:color="auto"/>
        <w:bottom w:val="none" w:sz="0" w:space="0" w:color="auto"/>
        <w:right w:val="none" w:sz="0" w:space="0" w:color="auto"/>
      </w:divBdr>
    </w:div>
    <w:div w:id="20260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landclinicmeded.com/medicalpubs/diseasemanagement/hematology-oncology/chronic-leukemias" TargetMode="External"/><Relationship Id="rId3" Type="http://schemas.microsoft.com/office/2007/relationships/stylesWithEffects" Target="stylesWithEffects.xml"/><Relationship Id="rId7" Type="http://schemas.openxmlformats.org/officeDocument/2006/relationships/hyperlink" Target="https://www.lls.org/sites/default/files/file_assets/cml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r.cancer.gov/statfacts/html/leuk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quatro espada</dc:creator>
  <cp:keywords/>
  <dc:description/>
  <cp:lastModifiedBy>user</cp:lastModifiedBy>
  <cp:revision>6</cp:revision>
  <dcterms:created xsi:type="dcterms:W3CDTF">2016-02-02T14:21:00Z</dcterms:created>
  <dcterms:modified xsi:type="dcterms:W3CDTF">2016-05-13T03:52:00Z</dcterms:modified>
</cp:coreProperties>
</file>