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F3F" w:rsidRDefault="00AA5F3F" w:rsidP="00AA5F3F">
      <w:pPr>
        <w:spacing w:after="360"/>
        <w:jc w:val="center"/>
        <w:rPr>
          <w:rFonts w:ascii="Times New Roman" w:hAnsi="Times New Roman"/>
          <w:b/>
        </w:rPr>
      </w:pPr>
      <w:bookmarkStart w:id="0" w:name="_GoBack"/>
      <w:bookmarkEnd w:id="0"/>
      <w:r>
        <w:rPr>
          <w:rFonts w:ascii="Times New Roman" w:hAnsi="Times New Roman"/>
          <w:b/>
        </w:rPr>
        <w:t xml:space="preserve">REPUTASI KANTOR AKUNTAN PUBLIK SEBAGAI PEMODERASI PENGARUH PROFITABILITAS DAN SOLVABILITAS PADA AUDIT DELAY </w:t>
      </w:r>
    </w:p>
    <w:p w:rsidR="006F66A1" w:rsidRPr="00BB4350" w:rsidRDefault="00AA5F3F" w:rsidP="003A0D7A">
      <w:pPr>
        <w:jc w:val="center"/>
        <w:rPr>
          <w:rFonts w:ascii="Times New Roman" w:hAnsi="Times New Roman"/>
          <w:b/>
          <w:vertAlign w:val="superscript"/>
        </w:rPr>
      </w:pPr>
      <w:r>
        <w:rPr>
          <w:rFonts w:ascii="Times New Roman" w:hAnsi="Times New Roman"/>
          <w:b/>
        </w:rPr>
        <w:t>Ni Putu Winda Wulandari</w:t>
      </w:r>
      <w:r w:rsidR="00656199" w:rsidRPr="00BB4350">
        <w:rPr>
          <w:rFonts w:ascii="Times New Roman" w:hAnsi="Times New Roman"/>
          <w:b/>
          <w:vertAlign w:val="superscript"/>
        </w:rPr>
        <w:t>1</w:t>
      </w:r>
    </w:p>
    <w:p w:rsidR="006F66A1" w:rsidRPr="00AA5F3F" w:rsidRDefault="00AA5F3F" w:rsidP="006F66A1">
      <w:pPr>
        <w:spacing w:after="360"/>
        <w:jc w:val="center"/>
        <w:rPr>
          <w:rFonts w:ascii="Times New Roman" w:hAnsi="Times New Roman"/>
          <w:b/>
        </w:rPr>
      </w:pPr>
      <w:r w:rsidRPr="00AA5F3F">
        <w:rPr>
          <w:rFonts w:ascii="Times New Roman" w:hAnsi="Times New Roman"/>
          <w:b/>
        </w:rPr>
        <w:t>I Made Karya Utama</w:t>
      </w:r>
      <w:r w:rsidR="00656199" w:rsidRPr="00AA5F3F">
        <w:rPr>
          <w:rFonts w:ascii="Times New Roman" w:hAnsi="Times New Roman"/>
          <w:b/>
          <w:vertAlign w:val="superscript"/>
        </w:rPr>
        <w:t>2</w:t>
      </w:r>
    </w:p>
    <w:p w:rsidR="006F66A1" w:rsidRPr="00BB4350" w:rsidRDefault="00193E6B" w:rsidP="003A0D7A">
      <w:pPr>
        <w:jc w:val="center"/>
        <w:rPr>
          <w:rFonts w:ascii="Times New Roman" w:hAnsi="Times New Roman"/>
        </w:rPr>
      </w:pPr>
      <w:r>
        <w:rPr>
          <w:rFonts w:ascii="Times New Roman" w:hAnsi="Times New Roman"/>
          <w:vertAlign w:val="superscript"/>
        </w:rPr>
        <w:t>1</w:t>
      </w:r>
      <w:r w:rsidR="006F66A1" w:rsidRPr="00BB4350">
        <w:rPr>
          <w:rFonts w:ascii="Times New Roman" w:hAnsi="Times New Roman"/>
        </w:rPr>
        <w:t>Fakultas Ekonomi dan Bisnis Universitas Udayana, Bali, Indonesia</w:t>
      </w:r>
    </w:p>
    <w:p w:rsidR="00193E6B" w:rsidRDefault="006F66A1" w:rsidP="00193E6B">
      <w:pPr>
        <w:pStyle w:val="Heading3"/>
        <w:spacing w:before="0" w:beforeAutospacing="0" w:after="0" w:afterAutospacing="0"/>
        <w:jc w:val="center"/>
        <w:rPr>
          <w:b w:val="0"/>
          <w:sz w:val="24"/>
          <w:szCs w:val="24"/>
          <w:shd w:val="clear" w:color="auto" w:fill="FFFFFF"/>
        </w:rPr>
      </w:pPr>
      <w:r w:rsidRPr="00AA5F3F">
        <w:rPr>
          <w:b w:val="0"/>
          <w:sz w:val="24"/>
          <w:szCs w:val="24"/>
        </w:rPr>
        <w:t xml:space="preserve">e-mail: </w:t>
      </w:r>
      <w:hyperlink r:id="rId8" w:history="1">
        <w:r w:rsidR="00193E6B" w:rsidRPr="006E09BB">
          <w:rPr>
            <w:rStyle w:val="Hyperlink"/>
            <w:b w:val="0"/>
            <w:sz w:val="24"/>
            <w:szCs w:val="24"/>
            <w:shd w:val="clear" w:color="auto" w:fill="FFFFFF"/>
          </w:rPr>
          <w:t>winda450@ymail.com</w:t>
        </w:r>
      </w:hyperlink>
      <w:r w:rsidR="00193E6B">
        <w:rPr>
          <w:b w:val="0"/>
          <w:sz w:val="24"/>
          <w:szCs w:val="24"/>
          <w:shd w:val="clear" w:color="auto" w:fill="FFFFFF"/>
        </w:rPr>
        <w:t xml:space="preserve"> / telp: +62 </w:t>
      </w:r>
      <w:r w:rsidR="00244C6C">
        <w:rPr>
          <w:b w:val="0"/>
          <w:sz w:val="24"/>
          <w:szCs w:val="24"/>
          <w:shd w:val="clear" w:color="auto" w:fill="FFFFFF"/>
        </w:rPr>
        <w:t>81 238 193 382</w:t>
      </w:r>
    </w:p>
    <w:p w:rsidR="00193E6B" w:rsidRPr="00193E6B" w:rsidRDefault="00193E6B" w:rsidP="00193E6B">
      <w:pPr>
        <w:pStyle w:val="Heading3"/>
        <w:spacing w:before="0" w:beforeAutospacing="0" w:after="360" w:afterAutospacing="0"/>
        <w:jc w:val="center"/>
        <w:rPr>
          <w:b w:val="0"/>
          <w:sz w:val="24"/>
          <w:szCs w:val="24"/>
          <w:shd w:val="clear" w:color="auto" w:fill="FFFFFF"/>
        </w:rPr>
      </w:pPr>
      <w:r w:rsidRPr="00193E6B">
        <w:rPr>
          <w:b w:val="0"/>
          <w:sz w:val="24"/>
          <w:szCs w:val="24"/>
          <w:shd w:val="clear" w:color="auto" w:fill="FFFFFF"/>
          <w:vertAlign w:val="superscript"/>
        </w:rPr>
        <w:t>2</w:t>
      </w:r>
      <w:r w:rsidRPr="00193E6B">
        <w:rPr>
          <w:b w:val="0"/>
          <w:sz w:val="24"/>
          <w:szCs w:val="24"/>
          <w:shd w:val="clear" w:color="auto" w:fill="FFFFFF"/>
        </w:rPr>
        <w:t>Fakultas Ekonomi dan Bisnis Universitas Udayana, Bali, Indonesia</w:t>
      </w:r>
    </w:p>
    <w:p w:rsidR="006F66A1" w:rsidRPr="00610529" w:rsidRDefault="006F66A1" w:rsidP="00F74F9A">
      <w:pPr>
        <w:ind w:left="283" w:right="283"/>
        <w:jc w:val="center"/>
        <w:rPr>
          <w:rFonts w:ascii="Times New Roman" w:hAnsi="Times New Roman"/>
          <w:b/>
          <w:noProof/>
          <w:color w:val="000000"/>
          <w:szCs w:val="20"/>
        </w:rPr>
      </w:pPr>
      <w:r w:rsidRPr="00610529">
        <w:rPr>
          <w:rFonts w:ascii="Times New Roman" w:hAnsi="Times New Roman"/>
          <w:b/>
          <w:noProof/>
          <w:color w:val="000000"/>
          <w:szCs w:val="20"/>
        </w:rPr>
        <w:t>ABSTRAK</w:t>
      </w:r>
    </w:p>
    <w:p w:rsidR="00610529" w:rsidRPr="00610529" w:rsidRDefault="00610529" w:rsidP="00F74F9A">
      <w:pPr>
        <w:ind w:left="720" w:right="720"/>
        <w:contextualSpacing/>
        <w:jc w:val="both"/>
        <w:rPr>
          <w:rFonts w:ascii="Times New Roman" w:hAnsi="Times New Roman"/>
          <w:i/>
          <w:sz w:val="20"/>
          <w:szCs w:val="20"/>
        </w:rPr>
      </w:pPr>
      <w:r w:rsidRPr="00610529">
        <w:rPr>
          <w:rFonts w:ascii="Times New Roman" w:hAnsi="Times New Roman"/>
          <w:sz w:val="20"/>
          <w:szCs w:val="20"/>
        </w:rPr>
        <w:t xml:space="preserve">Tujuan penelitian ini adalah untuk mengetahui pengaruh profitabilitas dan solvabilitas terhadap audit delay, dan untuk mengetahui mampu tidaknya reputasi kantor akuntan publik dalam memoderasi pengaruh profitabilitas dan solvabilitas terhadap audit delay. Penelitian ini dilakukan pada perusahaan properti yang terdaftar di Bursa Efek Indonesia (BEI) selama periode 2011-2014. Jumlah sampel yang diperoleh sebanyak 80, dengan metode  </w:t>
      </w:r>
      <w:r w:rsidRPr="00610529">
        <w:rPr>
          <w:rFonts w:ascii="Times New Roman" w:hAnsi="Times New Roman"/>
          <w:i/>
          <w:sz w:val="20"/>
          <w:szCs w:val="20"/>
        </w:rPr>
        <w:t xml:space="preserve">purposive sampling. </w:t>
      </w:r>
      <w:r w:rsidRPr="00610529">
        <w:rPr>
          <w:rFonts w:ascii="Times New Roman" w:hAnsi="Times New Roman"/>
          <w:sz w:val="20"/>
          <w:szCs w:val="20"/>
        </w:rPr>
        <w:t>Variabel independen yang digunakan dalam penelitian ini adalah profitabilitas dan solvabilitas. Variabel dependen yang digunakan adalah audit delay</w:t>
      </w:r>
      <w:r w:rsidRPr="00610529">
        <w:rPr>
          <w:rFonts w:ascii="Times New Roman" w:hAnsi="Times New Roman"/>
          <w:i/>
          <w:sz w:val="20"/>
          <w:szCs w:val="20"/>
        </w:rPr>
        <w:t xml:space="preserve">. </w:t>
      </w:r>
      <w:r w:rsidRPr="00610529">
        <w:rPr>
          <w:rFonts w:ascii="Times New Roman" w:hAnsi="Times New Roman"/>
          <w:sz w:val="20"/>
          <w:szCs w:val="20"/>
        </w:rPr>
        <w:t xml:space="preserve">Variabel moderasi yang digunakan adalah reputasi kantor akuntan publik. Teknik analisis yang digunakan </w:t>
      </w:r>
      <w:r w:rsidRPr="00610529">
        <w:rPr>
          <w:rFonts w:ascii="Times New Roman" w:eastAsiaTheme="minorHAnsi" w:hAnsi="Times New Roman"/>
          <w:i/>
          <w:sz w:val="20"/>
          <w:szCs w:val="20"/>
        </w:rPr>
        <w:t>Moderated Regression Analysis</w:t>
      </w:r>
      <w:r w:rsidR="00483F69">
        <w:rPr>
          <w:rFonts w:ascii="Times New Roman" w:hAnsi="Times New Roman"/>
          <w:sz w:val="20"/>
          <w:szCs w:val="20"/>
        </w:rPr>
        <w:t xml:space="preserve">(MRA). </w:t>
      </w:r>
      <w:r w:rsidRPr="00610529">
        <w:rPr>
          <w:rFonts w:ascii="Times New Roman" w:hAnsi="Times New Roman"/>
          <w:sz w:val="20"/>
          <w:szCs w:val="20"/>
        </w:rPr>
        <w:t xml:space="preserve">Hasil penelitian menunjukkan profitabilitas dan solvabilitas berpengaruh terhadap audit delay. </w:t>
      </w:r>
      <w:r w:rsidRPr="00610529">
        <w:rPr>
          <w:rFonts w:ascii="Times New Roman" w:eastAsiaTheme="minorHAnsi" w:hAnsi="Times New Roman"/>
          <w:iCs/>
          <w:color w:val="000000" w:themeColor="text1"/>
          <w:sz w:val="20"/>
          <w:szCs w:val="20"/>
        </w:rPr>
        <w:t>Reputasi kantor akuntan publik tidak dapat memoderasi profitabilitas pada audit delay. R</w:t>
      </w:r>
      <w:r w:rsidRPr="00610529">
        <w:rPr>
          <w:rFonts w:ascii="Times New Roman" w:eastAsiaTheme="minorHAnsi" w:hAnsi="Times New Roman"/>
          <w:sz w:val="20"/>
          <w:szCs w:val="20"/>
        </w:rPr>
        <w:t>eputasi kantor akuntan publik tidak dapat memoderasi pengaruh solvabilitas pada audit delay.</w:t>
      </w:r>
    </w:p>
    <w:p w:rsidR="005E7AF9" w:rsidRPr="00610529" w:rsidRDefault="006F66A1" w:rsidP="00F71FB2">
      <w:pPr>
        <w:adjustRightInd w:val="0"/>
        <w:snapToGrid w:val="0"/>
        <w:spacing w:after="200"/>
        <w:ind w:left="720" w:right="720"/>
        <w:jc w:val="both"/>
        <w:rPr>
          <w:rFonts w:ascii="Times New Roman" w:hAnsi="Times New Roman"/>
          <w:sz w:val="20"/>
          <w:szCs w:val="20"/>
        </w:rPr>
      </w:pPr>
      <w:r w:rsidRPr="00610529">
        <w:rPr>
          <w:rFonts w:ascii="Times New Roman" w:hAnsi="Times New Roman"/>
          <w:b/>
          <w:sz w:val="20"/>
          <w:szCs w:val="20"/>
        </w:rPr>
        <w:t>Kata kunci</w:t>
      </w:r>
      <w:r w:rsidRPr="00610529">
        <w:rPr>
          <w:rFonts w:ascii="Times New Roman" w:hAnsi="Times New Roman"/>
          <w:sz w:val="20"/>
          <w:szCs w:val="20"/>
        </w:rPr>
        <w:t xml:space="preserve">: </w:t>
      </w:r>
      <w:r w:rsidR="00610529" w:rsidRPr="00610529">
        <w:rPr>
          <w:rFonts w:ascii="Times New Roman" w:hAnsi="Times New Roman"/>
          <w:sz w:val="20"/>
          <w:szCs w:val="20"/>
        </w:rPr>
        <w:t xml:space="preserve">profitabilitas, solvabilitas, reputasi KAP, </w:t>
      </w:r>
      <w:r w:rsidR="00610529" w:rsidRPr="00610529">
        <w:rPr>
          <w:rFonts w:ascii="Times New Roman" w:hAnsi="Times New Roman"/>
          <w:i/>
          <w:sz w:val="20"/>
          <w:szCs w:val="20"/>
        </w:rPr>
        <w:t>audit delay</w:t>
      </w:r>
    </w:p>
    <w:p w:rsidR="006F66A1" w:rsidRPr="00610529" w:rsidRDefault="006F66A1" w:rsidP="00F74F9A">
      <w:pPr>
        <w:ind w:left="283" w:right="283"/>
        <w:jc w:val="center"/>
        <w:rPr>
          <w:rFonts w:ascii="Times New Roman" w:hAnsi="Times New Roman"/>
          <w:b/>
          <w:i/>
          <w:noProof/>
          <w:color w:val="000000"/>
          <w:szCs w:val="20"/>
        </w:rPr>
      </w:pPr>
      <w:r w:rsidRPr="00610529">
        <w:rPr>
          <w:rFonts w:ascii="Times New Roman" w:hAnsi="Times New Roman"/>
          <w:b/>
          <w:i/>
          <w:noProof/>
          <w:color w:val="000000"/>
          <w:szCs w:val="20"/>
        </w:rPr>
        <w:t>ABSTRACT</w:t>
      </w:r>
    </w:p>
    <w:p w:rsidR="00610529" w:rsidRPr="00610529" w:rsidRDefault="00610529" w:rsidP="00F74F9A">
      <w:pPr>
        <w:ind w:left="720" w:right="720"/>
        <w:jc w:val="both"/>
        <w:rPr>
          <w:rFonts w:ascii="Times New Roman" w:hAnsi="Times New Roman"/>
          <w:i/>
          <w:sz w:val="20"/>
          <w:szCs w:val="20"/>
        </w:rPr>
      </w:pPr>
      <w:r w:rsidRPr="00610529">
        <w:rPr>
          <w:rFonts w:ascii="Times New Roman" w:hAnsi="Times New Roman"/>
          <w:i/>
          <w:sz w:val="20"/>
          <w:szCs w:val="20"/>
        </w:rPr>
        <w:t>The purpose of this study was to determine the effect of profitability and solvency to audit delay, and to determine whether the reputation capable public accounting firms in the moderating influence of the profitability and solvency of the audit delay. This research was conducted on a property company listed on the Indonesia Stock Exchange (BEI) during the period 2011-2014. The number of samples obtained as many as 80, with purposive sampling method. Independent variables used in this study is the profitability and solvency. The dependent variable used is audit delay. Moderating variables used are reputable public accounting firms. The analysis technique used Moderated Regression Analysis (MRA). The results showed profitability and solvency effect on audit delay. Reputation public accounting firms can not moderate profitability in audit delay. Reputation public accounting firms can not moderate effect on the solvency of the audit delay.</w:t>
      </w:r>
    </w:p>
    <w:p w:rsidR="005B096B" w:rsidRPr="00610529" w:rsidRDefault="00610529" w:rsidP="00F71FB2">
      <w:pPr>
        <w:spacing w:after="200"/>
        <w:ind w:left="720" w:right="720"/>
        <w:jc w:val="both"/>
        <w:rPr>
          <w:rFonts w:ascii="Times New Roman" w:hAnsi="Times New Roman"/>
          <w:i/>
          <w:sz w:val="20"/>
          <w:szCs w:val="20"/>
        </w:rPr>
      </w:pPr>
      <w:r w:rsidRPr="00610529">
        <w:rPr>
          <w:rFonts w:ascii="Times New Roman" w:hAnsi="Times New Roman"/>
          <w:b/>
          <w:i/>
          <w:sz w:val="20"/>
          <w:szCs w:val="20"/>
        </w:rPr>
        <w:t>Keywords:</w:t>
      </w:r>
      <w:r w:rsidR="005157D1">
        <w:rPr>
          <w:rFonts w:ascii="Times New Roman" w:hAnsi="Times New Roman"/>
          <w:i/>
          <w:sz w:val="20"/>
          <w:szCs w:val="20"/>
        </w:rPr>
        <w:t>profitability, solvency, reputation KAP, audit d</w:t>
      </w:r>
      <w:r w:rsidRPr="00610529">
        <w:rPr>
          <w:rFonts w:ascii="Times New Roman" w:hAnsi="Times New Roman"/>
          <w:i/>
          <w:sz w:val="20"/>
          <w:szCs w:val="20"/>
        </w:rPr>
        <w:t>elay</w:t>
      </w:r>
    </w:p>
    <w:p w:rsidR="00193E6B" w:rsidRDefault="00193E6B" w:rsidP="00675287">
      <w:pPr>
        <w:spacing w:line="480" w:lineRule="auto"/>
        <w:rPr>
          <w:rFonts w:ascii="Times New Roman" w:hAnsi="Times New Roman"/>
          <w:b/>
        </w:rPr>
      </w:pPr>
    </w:p>
    <w:p w:rsidR="00F74F9A" w:rsidRPr="00BB4350" w:rsidRDefault="00F74F9A" w:rsidP="00675287">
      <w:pPr>
        <w:spacing w:line="480" w:lineRule="auto"/>
        <w:rPr>
          <w:rFonts w:ascii="Times New Roman" w:hAnsi="Times New Roman"/>
          <w:b/>
        </w:rPr>
      </w:pPr>
    </w:p>
    <w:p w:rsidR="006F66A1" w:rsidRDefault="006F66A1" w:rsidP="00675287">
      <w:pPr>
        <w:spacing w:line="480" w:lineRule="auto"/>
        <w:rPr>
          <w:rFonts w:ascii="Times New Roman" w:hAnsi="Times New Roman"/>
          <w:b/>
        </w:rPr>
      </w:pPr>
      <w:r w:rsidRPr="00BB4350">
        <w:rPr>
          <w:rFonts w:ascii="Times New Roman" w:hAnsi="Times New Roman"/>
          <w:b/>
        </w:rPr>
        <w:lastRenderedPageBreak/>
        <w:t>PENDAHULUAN</w:t>
      </w:r>
    </w:p>
    <w:p w:rsidR="00C714BC" w:rsidRDefault="005C3719" w:rsidP="00F74F9A">
      <w:pPr>
        <w:pStyle w:val="ListParagraph"/>
        <w:tabs>
          <w:tab w:val="left" w:pos="270"/>
        </w:tabs>
        <w:spacing w:after="0" w:line="480" w:lineRule="auto"/>
        <w:ind w:left="0"/>
        <w:jc w:val="both"/>
        <w:rPr>
          <w:rFonts w:ascii="Times New Roman" w:hAnsi="Times New Roman"/>
          <w:sz w:val="24"/>
          <w:szCs w:val="24"/>
        </w:rPr>
      </w:pPr>
      <w:r>
        <w:rPr>
          <w:rFonts w:ascii="Times New Roman" w:hAnsi="Times New Roman"/>
          <w:sz w:val="24"/>
          <w:szCs w:val="24"/>
        </w:rPr>
        <w:t>S</w:t>
      </w:r>
      <w:r w:rsidR="00C714BC" w:rsidRPr="00F550E8">
        <w:rPr>
          <w:rFonts w:ascii="Times New Roman" w:hAnsi="Times New Roman"/>
          <w:sz w:val="24"/>
          <w:szCs w:val="24"/>
        </w:rPr>
        <w:t>alah satu instrumen paling penting yang harus dimiliki oleh sebuah perusahaan</w:t>
      </w:r>
      <w:r>
        <w:rPr>
          <w:rFonts w:ascii="Times New Roman" w:hAnsi="Times New Roman"/>
          <w:sz w:val="24"/>
          <w:szCs w:val="24"/>
        </w:rPr>
        <w:t xml:space="preserve"> adalah laporan keuangan</w:t>
      </w:r>
      <w:r w:rsidR="00C714BC" w:rsidRPr="00F550E8">
        <w:rPr>
          <w:rFonts w:ascii="Times New Roman" w:hAnsi="Times New Roman"/>
          <w:sz w:val="24"/>
          <w:szCs w:val="24"/>
        </w:rPr>
        <w:t>. Pernyataan Standar Akuntansi Keuangan (PSAK) No. 1 tentang Penyajian Laporan Keuangan menyebutkan tujuan dari laporan keuangan adalah untuk memberikan informasi mengenai posisi keuangan, kinerja keuangan, dan arus kas perusahaan yang bermanfaat bagi sebagian besar kalangan pengguna laporan dalam pembuatan kepu</w:t>
      </w:r>
      <w:r w:rsidR="00EB5FD9">
        <w:rPr>
          <w:rFonts w:ascii="Times New Roman" w:hAnsi="Times New Roman"/>
          <w:sz w:val="24"/>
          <w:szCs w:val="24"/>
        </w:rPr>
        <w:t xml:space="preserve">tusan ekonomi. Laporan keuangan bertujuan </w:t>
      </w:r>
      <w:r w:rsidR="00C714BC" w:rsidRPr="00F550E8">
        <w:rPr>
          <w:rFonts w:ascii="Times New Roman" w:hAnsi="Times New Roman"/>
          <w:sz w:val="24"/>
          <w:szCs w:val="24"/>
        </w:rPr>
        <w:t>untuk memberikan informasi kepada calon investor, calon kreditor, dan pengguna laporan keuangan untuk pengambilan keputusan</w:t>
      </w:r>
      <w:r w:rsidR="00EB5FD9">
        <w:rPr>
          <w:rFonts w:ascii="Times New Roman" w:hAnsi="Times New Roman"/>
          <w:sz w:val="24"/>
          <w:szCs w:val="24"/>
        </w:rPr>
        <w:t xml:space="preserve"> ekonomi</w:t>
      </w:r>
      <w:r w:rsidR="00C714BC" w:rsidRPr="00F550E8">
        <w:rPr>
          <w:rFonts w:ascii="Times New Roman" w:hAnsi="Times New Roman"/>
          <w:sz w:val="24"/>
          <w:szCs w:val="24"/>
        </w:rPr>
        <w:t xml:space="preserve">. </w:t>
      </w:r>
    </w:p>
    <w:p w:rsidR="00C714BC" w:rsidRDefault="005C3719" w:rsidP="00C714BC">
      <w:pPr>
        <w:pStyle w:val="ListParagraph"/>
        <w:tabs>
          <w:tab w:val="left" w:pos="360"/>
        </w:tabs>
        <w:spacing w:after="0" w:line="480" w:lineRule="auto"/>
        <w:ind w:left="0" w:firstLine="567"/>
        <w:jc w:val="both"/>
        <w:rPr>
          <w:rFonts w:ascii="Times New Roman" w:hAnsi="Times New Roman"/>
          <w:color w:val="000000" w:themeColor="text1"/>
          <w:sz w:val="24"/>
          <w:szCs w:val="24"/>
        </w:rPr>
      </w:pPr>
      <w:r>
        <w:rPr>
          <w:rFonts w:ascii="Times New Roman" w:hAnsi="Times New Roman"/>
          <w:sz w:val="24"/>
          <w:szCs w:val="24"/>
        </w:rPr>
        <w:t>P</w:t>
      </w:r>
      <w:r w:rsidR="00C714BC">
        <w:rPr>
          <w:rFonts w:ascii="Times New Roman" w:hAnsi="Times New Roman"/>
          <w:sz w:val="24"/>
          <w:szCs w:val="24"/>
        </w:rPr>
        <w:t xml:space="preserve">ermintaan akan transaksi </w:t>
      </w:r>
      <w:r w:rsidR="00C714BC" w:rsidRPr="00E362FB">
        <w:rPr>
          <w:rFonts w:ascii="Times New Roman" w:hAnsi="Times New Roman"/>
          <w:sz w:val="24"/>
          <w:szCs w:val="24"/>
        </w:rPr>
        <w:t>kon</w:t>
      </w:r>
      <w:r w:rsidR="00C714BC">
        <w:rPr>
          <w:rFonts w:ascii="Times New Roman" w:hAnsi="Times New Roman"/>
          <w:sz w:val="24"/>
          <w:szCs w:val="24"/>
        </w:rPr>
        <w:t>disi keuangan suatu perusahaan</w:t>
      </w:r>
      <w:r>
        <w:rPr>
          <w:rFonts w:ascii="Times New Roman" w:hAnsi="Times New Roman"/>
          <w:sz w:val="24"/>
          <w:szCs w:val="24"/>
        </w:rPr>
        <w:t xml:space="preserve"> disebabkan karena perkembangan pasar modal di Indonesia. Itulah yang </w:t>
      </w:r>
      <w:r w:rsidR="00C714BC" w:rsidRPr="00856192">
        <w:rPr>
          <w:rFonts w:ascii="Times New Roman" w:hAnsi="Times New Roman"/>
          <w:sz w:val="24"/>
          <w:szCs w:val="24"/>
        </w:rPr>
        <w:t xml:space="preserve">mendorong perusahaan-perusahaan </w:t>
      </w:r>
      <w:r w:rsidR="00C714BC" w:rsidRPr="00F1474C">
        <w:rPr>
          <w:rFonts w:ascii="Times New Roman" w:hAnsi="Times New Roman"/>
          <w:i/>
          <w:sz w:val="24"/>
          <w:szCs w:val="24"/>
        </w:rPr>
        <w:t>go public</w:t>
      </w:r>
      <w:r w:rsidR="00C714BC" w:rsidRPr="00856192">
        <w:rPr>
          <w:rFonts w:ascii="Times New Roman" w:hAnsi="Times New Roman"/>
          <w:sz w:val="24"/>
          <w:szCs w:val="24"/>
        </w:rPr>
        <w:t xml:space="preserve"> yang terdaftar di pasar modal un</w:t>
      </w:r>
      <w:r w:rsidR="00A55476">
        <w:rPr>
          <w:rFonts w:ascii="Times New Roman" w:hAnsi="Times New Roman"/>
          <w:sz w:val="24"/>
          <w:szCs w:val="24"/>
        </w:rPr>
        <w:t xml:space="preserve">tuk lebih meningkatkan segi </w:t>
      </w:r>
      <w:r w:rsidR="00ED05AA">
        <w:rPr>
          <w:rFonts w:ascii="Times New Roman" w:hAnsi="Times New Roman"/>
          <w:sz w:val="24"/>
          <w:szCs w:val="24"/>
        </w:rPr>
        <w:t xml:space="preserve">kualitas dari </w:t>
      </w:r>
      <w:r w:rsidR="00A55476">
        <w:rPr>
          <w:rFonts w:ascii="Times New Roman" w:hAnsi="Times New Roman"/>
          <w:sz w:val="24"/>
          <w:szCs w:val="24"/>
        </w:rPr>
        <w:t xml:space="preserve">laporan keuangan perusahaannya. Dengan meningkatkan </w:t>
      </w:r>
      <w:r w:rsidR="00C714BC" w:rsidRPr="00856192">
        <w:rPr>
          <w:rFonts w:ascii="Times New Roman" w:hAnsi="Times New Roman"/>
          <w:sz w:val="24"/>
          <w:szCs w:val="24"/>
        </w:rPr>
        <w:t>kualitas laporan ke</w:t>
      </w:r>
      <w:r w:rsidR="00A55476">
        <w:rPr>
          <w:rFonts w:ascii="Times New Roman" w:hAnsi="Times New Roman"/>
          <w:sz w:val="24"/>
          <w:szCs w:val="24"/>
        </w:rPr>
        <w:t xml:space="preserve">uangan perusahaan yang </w:t>
      </w:r>
      <w:r w:rsidR="00C714BC" w:rsidRPr="00856192">
        <w:rPr>
          <w:rFonts w:ascii="Times New Roman" w:hAnsi="Times New Roman"/>
          <w:sz w:val="24"/>
          <w:szCs w:val="24"/>
        </w:rPr>
        <w:t>sesuai dengan S</w:t>
      </w:r>
      <w:r w:rsidR="00ED05AA">
        <w:rPr>
          <w:rFonts w:ascii="Times New Roman" w:hAnsi="Times New Roman"/>
          <w:sz w:val="24"/>
          <w:szCs w:val="24"/>
        </w:rPr>
        <w:t xml:space="preserve">tandar Akuntansi Keuangan dapat meningkatkan </w:t>
      </w:r>
      <w:r w:rsidR="00C714BC" w:rsidRPr="00856192">
        <w:rPr>
          <w:rFonts w:ascii="Times New Roman" w:hAnsi="Times New Roman"/>
          <w:sz w:val="24"/>
          <w:szCs w:val="24"/>
        </w:rPr>
        <w:t xml:space="preserve">investor untuk berinvestasi di perusahaan tersebut. </w:t>
      </w:r>
      <w:r w:rsidR="00C714BC">
        <w:rPr>
          <w:rFonts w:ascii="Times New Roman" w:hAnsi="Times New Roman"/>
          <w:sz w:val="24"/>
          <w:szCs w:val="24"/>
        </w:rPr>
        <w:t xml:space="preserve">Menurut Stice </w:t>
      </w:r>
      <w:r w:rsidR="00C714BC" w:rsidRPr="005A33E9">
        <w:rPr>
          <w:rFonts w:ascii="Times New Roman" w:hAnsi="Times New Roman"/>
          <w:i/>
          <w:sz w:val="24"/>
          <w:szCs w:val="24"/>
        </w:rPr>
        <w:t>et al.</w:t>
      </w:r>
      <w:r w:rsidR="001C03D2">
        <w:rPr>
          <w:rFonts w:ascii="Times New Roman" w:hAnsi="Times New Roman"/>
          <w:sz w:val="24"/>
          <w:szCs w:val="24"/>
        </w:rPr>
        <w:t xml:space="preserve"> (2009:11), </w:t>
      </w:r>
      <w:r w:rsidR="00C714BC">
        <w:rPr>
          <w:rFonts w:ascii="Times New Roman" w:hAnsi="Times New Roman"/>
          <w:sz w:val="24"/>
          <w:szCs w:val="24"/>
        </w:rPr>
        <w:t>k</w:t>
      </w:r>
      <w:r w:rsidR="00C714BC" w:rsidRPr="00856192">
        <w:rPr>
          <w:rFonts w:ascii="Times New Roman" w:hAnsi="Times New Roman"/>
          <w:sz w:val="24"/>
          <w:szCs w:val="24"/>
        </w:rPr>
        <w:t>ualitas informasi akuntansi yang disediakan bagi investor akan membantu menentukan apakah operasi perusahaan cukup dapat menghasilkan keuntungan untuk membenark</w:t>
      </w:r>
      <w:r w:rsidR="00C714BC">
        <w:rPr>
          <w:rFonts w:ascii="Times New Roman" w:hAnsi="Times New Roman"/>
          <w:sz w:val="24"/>
          <w:szCs w:val="24"/>
        </w:rPr>
        <w:t xml:space="preserve">an pemberian pendanaan tambahan </w:t>
      </w:r>
      <w:r w:rsidR="00C714BC" w:rsidRPr="008745C6">
        <w:rPr>
          <w:rFonts w:ascii="Times New Roman" w:hAnsi="Times New Roman"/>
          <w:color w:val="000000" w:themeColor="text1"/>
          <w:sz w:val="24"/>
          <w:szCs w:val="24"/>
        </w:rPr>
        <w:t>dan seberapa besar risiko operasi perusahaan untuk menentukan tingkat pengembalian yang diperlukan untuk mengganti kerugian penye</w:t>
      </w:r>
      <w:r w:rsidR="00C714BC">
        <w:rPr>
          <w:rFonts w:ascii="Times New Roman" w:hAnsi="Times New Roman"/>
          <w:color w:val="000000" w:themeColor="text1"/>
          <w:sz w:val="24"/>
          <w:szCs w:val="24"/>
        </w:rPr>
        <w:t>dia modal bagi resiko investasi.</w:t>
      </w:r>
    </w:p>
    <w:p w:rsidR="00C714BC" w:rsidRDefault="00437849" w:rsidP="00C714BC">
      <w:pPr>
        <w:pStyle w:val="ListParagraph"/>
        <w:tabs>
          <w:tab w:val="left" w:pos="360"/>
        </w:tabs>
        <w:spacing w:after="0" w:line="480" w:lineRule="auto"/>
        <w:ind w:left="0" w:firstLine="567"/>
        <w:jc w:val="both"/>
        <w:rPr>
          <w:rFonts w:ascii="Times New Roman" w:hAnsi="Times New Roman"/>
          <w:color w:val="000000" w:themeColor="text1"/>
          <w:sz w:val="24"/>
          <w:szCs w:val="24"/>
        </w:rPr>
      </w:pPr>
      <w:r>
        <w:rPr>
          <w:rFonts w:ascii="Times New Roman" w:hAnsi="Times New Roman"/>
          <w:sz w:val="24"/>
          <w:szCs w:val="24"/>
        </w:rPr>
        <w:t>I</w:t>
      </w:r>
      <w:r w:rsidR="00C714BC" w:rsidRPr="00117EFF">
        <w:rPr>
          <w:rFonts w:ascii="Times New Roman" w:hAnsi="Times New Roman"/>
          <w:sz w:val="24"/>
          <w:szCs w:val="24"/>
        </w:rPr>
        <w:t>nvestor untuk berinvestasi</w:t>
      </w:r>
      <w:r w:rsidR="00C91E94">
        <w:rPr>
          <w:rFonts w:ascii="Times New Roman" w:hAnsi="Times New Roman"/>
          <w:sz w:val="24"/>
          <w:szCs w:val="24"/>
        </w:rPr>
        <w:t xml:space="preserve"> pada perusahaan di pasar modal tidak </w:t>
      </w:r>
      <w:r w:rsidR="00C714BC" w:rsidRPr="00117EFF">
        <w:rPr>
          <w:rFonts w:ascii="Times New Roman" w:hAnsi="Times New Roman"/>
          <w:sz w:val="24"/>
          <w:szCs w:val="24"/>
        </w:rPr>
        <w:t>hanya dilihat dari baik atau tid</w:t>
      </w:r>
      <w:r>
        <w:rPr>
          <w:rFonts w:ascii="Times New Roman" w:hAnsi="Times New Roman"/>
          <w:sz w:val="24"/>
          <w:szCs w:val="24"/>
        </w:rPr>
        <w:t xml:space="preserve">aknya kualitas laporan keuangan namun ketepatan waktu dalam </w:t>
      </w:r>
      <w:r>
        <w:rPr>
          <w:rFonts w:ascii="Times New Roman" w:hAnsi="Times New Roman"/>
          <w:sz w:val="24"/>
          <w:szCs w:val="24"/>
        </w:rPr>
        <w:lastRenderedPageBreak/>
        <w:t xml:space="preserve">penyajian </w:t>
      </w:r>
      <w:r w:rsidR="00C714BC" w:rsidRPr="00117EFF">
        <w:rPr>
          <w:rFonts w:ascii="Times New Roman" w:hAnsi="Times New Roman"/>
          <w:sz w:val="24"/>
          <w:szCs w:val="24"/>
        </w:rPr>
        <w:t xml:space="preserve">laporan keuangan juga menjadi pertimbangan. </w:t>
      </w:r>
      <w:r w:rsidR="00C714BC">
        <w:rPr>
          <w:rFonts w:ascii="Times New Roman" w:hAnsi="Times New Roman"/>
          <w:color w:val="000000" w:themeColor="text1"/>
          <w:sz w:val="24"/>
          <w:szCs w:val="24"/>
        </w:rPr>
        <w:t xml:space="preserve">Menurut Dogan </w:t>
      </w:r>
      <w:r w:rsidR="00C714BC">
        <w:rPr>
          <w:rFonts w:ascii="Times New Roman" w:hAnsi="Times New Roman"/>
          <w:i/>
          <w:color w:val="000000" w:themeColor="text1"/>
          <w:sz w:val="24"/>
          <w:szCs w:val="24"/>
        </w:rPr>
        <w:t>et al.</w:t>
      </w:r>
      <w:r w:rsidR="00C714BC" w:rsidRPr="00117EFF">
        <w:rPr>
          <w:rFonts w:ascii="Times New Roman" w:hAnsi="Times New Roman"/>
          <w:color w:val="000000" w:themeColor="text1"/>
          <w:sz w:val="24"/>
          <w:szCs w:val="24"/>
        </w:rPr>
        <w:t xml:space="preserve"> (2007)</w:t>
      </w:r>
      <w:r w:rsidR="00C714BC" w:rsidRPr="00117EFF">
        <w:rPr>
          <w:rFonts w:ascii="Times New Roman" w:hAnsi="Times New Roman"/>
          <w:sz w:val="24"/>
          <w:szCs w:val="24"/>
        </w:rPr>
        <w:t>nilai perusahaan di pasar</w:t>
      </w:r>
      <w:r w:rsidR="00ED05AA">
        <w:rPr>
          <w:rFonts w:ascii="Times New Roman" w:hAnsi="Times New Roman"/>
          <w:sz w:val="24"/>
          <w:szCs w:val="24"/>
        </w:rPr>
        <w:t xml:space="preserve"> dipengaruhi oleh ketepatwaktuan pelaporan keuangan</w:t>
      </w:r>
      <w:r w:rsidR="00C714BC" w:rsidRPr="00117EFF">
        <w:rPr>
          <w:rFonts w:ascii="Times New Roman" w:hAnsi="Times New Roman"/>
          <w:sz w:val="24"/>
          <w:szCs w:val="24"/>
        </w:rPr>
        <w:t>. Abdu</w:t>
      </w:r>
      <w:r w:rsidR="00392757">
        <w:rPr>
          <w:rFonts w:ascii="Times New Roman" w:hAnsi="Times New Roman"/>
          <w:sz w:val="24"/>
          <w:szCs w:val="24"/>
        </w:rPr>
        <w:t xml:space="preserve">l Kadir (2011) menyatakan bahwa </w:t>
      </w:r>
      <w:r w:rsidR="00C714BC" w:rsidRPr="00117EFF">
        <w:rPr>
          <w:rFonts w:ascii="Times New Roman" w:hAnsi="Times New Roman"/>
          <w:sz w:val="24"/>
          <w:szCs w:val="24"/>
        </w:rPr>
        <w:t>untuk menghindari kehilangan relevansi infor</w:t>
      </w:r>
      <w:r w:rsidR="00ED05AA">
        <w:rPr>
          <w:rFonts w:ascii="Times New Roman" w:hAnsi="Times New Roman"/>
          <w:sz w:val="24"/>
          <w:szCs w:val="24"/>
        </w:rPr>
        <w:t>masi yang t</w:t>
      </w:r>
      <w:r w:rsidR="00392757">
        <w:rPr>
          <w:rFonts w:ascii="Times New Roman" w:hAnsi="Times New Roman"/>
          <w:sz w:val="24"/>
          <w:szCs w:val="24"/>
        </w:rPr>
        <w:t>erkandung didalamnya diperlukan ketepatwaktuan dalam penyampaian laporan keuangan sehingga dengan cepat keputusan dapat diambil</w:t>
      </w:r>
      <w:r w:rsidR="00C714BC" w:rsidRPr="00117EFF">
        <w:rPr>
          <w:rFonts w:ascii="Times New Roman" w:hAnsi="Times New Roman"/>
          <w:sz w:val="24"/>
          <w:szCs w:val="24"/>
        </w:rPr>
        <w:t xml:space="preserve">. </w:t>
      </w:r>
      <w:r w:rsidR="00C91E94">
        <w:rPr>
          <w:rFonts w:ascii="Times New Roman" w:hAnsi="Times New Roman"/>
          <w:sz w:val="24"/>
          <w:szCs w:val="24"/>
        </w:rPr>
        <w:t>S</w:t>
      </w:r>
      <w:r>
        <w:rPr>
          <w:rFonts w:ascii="Times New Roman" w:hAnsi="Times New Roman"/>
          <w:sz w:val="24"/>
          <w:szCs w:val="24"/>
        </w:rPr>
        <w:t>emakin cepat penyampaian laporan keuangan</w:t>
      </w:r>
      <w:r w:rsidR="00C91E94">
        <w:rPr>
          <w:rFonts w:ascii="Times New Roman" w:hAnsi="Times New Roman"/>
          <w:sz w:val="24"/>
          <w:szCs w:val="24"/>
        </w:rPr>
        <w:t xml:space="preserve"> maka i</w:t>
      </w:r>
      <w:r w:rsidR="00C91E94" w:rsidRPr="00C91E94">
        <w:rPr>
          <w:rFonts w:ascii="Times New Roman" w:hAnsi="Times New Roman"/>
          <w:sz w:val="24"/>
          <w:szCs w:val="24"/>
        </w:rPr>
        <w:t xml:space="preserve">nformasi keuangan akan semakin bermanfaat </w:t>
      </w:r>
      <w:r w:rsidR="00C91E94">
        <w:rPr>
          <w:rFonts w:ascii="Times New Roman" w:hAnsi="Times New Roman"/>
          <w:sz w:val="24"/>
          <w:szCs w:val="24"/>
        </w:rPr>
        <w:t xml:space="preserve">sehingga </w:t>
      </w:r>
      <w:r w:rsidR="00C714BC" w:rsidRPr="00117EFF">
        <w:rPr>
          <w:rFonts w:ascii="Times New Roman" w:hAnsi="Times New Roman"/>
          <w:sz w:val="24"/>
          <w:szCs w:val="24"/>
        </w:rPr>
        <w:t>dapat mengambil keputusan dari segi kualitas dan waktu (Almilia dan Setiady</w:t>
      </w:r>
      <w:r w:rsidR="001C03D2">
        <w:rPr>
          <w:rFonts w:ascii="Times New Roman" w:hAnsi="Times New Roman"/>
          <w:sz w:val="24"/>
          <w:szCs w:val="24"/>
        </w:rPr>
        <w:t xml:space="preserve">, 2006). </w:t>
      </w:r>
    </w:p>
    <w:p w:rsidR="00C714BC" w:rsidRDefault="00C714BC" w:rsidP="00C714BC">
      <w:pPr>
        <w:pStyle w:val="ListParagraph"/>
        <w:tabs>
          <w:tab w:val="left" w:pos="360"/>
        </w:tabs>
        <w:spacing w:after="0" w:line="480" w:lineRule="auto"/>
        <w:ind w:left="0" w:firstLine="567"/>
        <w:jc w:val="both"/>
        <w:rPr>
          <w:rFonts w:ascii="Times New Roman" w:hAnsi="Times New Roman"/>
          <w:sz w:val="24"/>
          <w:szCs w:val="24"/>
        </w:rPr>
      </w:pPr>
      <w:r w:rsidRPr="00CC4F49">
        <w:rPr>
          <w:rFonts w:ascii="Times New Roman" w:hAnsi="Times New Roman"/>
          <w:sz w:val="24"/>
          <w:szCs w:val="24"/>
        </w:rPr>
        <w:t xml:space="preserve">Sesuai dengan peraturan Undang-Undang No. 8 Tahun 1995 tentang Pasar Modal yang memuat tentang kewajiban pada setiap perusahaan yang </w:t>
      </w:r>
      <w:r w:rsidRPr="00CC4F49">
        <w:rPr>
          <w:rFonts w:ascii="Times New Roman" w:hAnsi="Times New Roman"/>
          <w:i/>
          <w:iCs/>
          <w:sz w:val="24"/>
          <w:szCs w:val="24"/>
        </w:rPr>
        <w:t xml:space="preserve">listing </w:t>
      </w:r>
      <w:r w:rsidRPr="00CC4F49">
        <w:rPr>
          <w:rFonts w:ascii="Times New Roman" w:hAnsi="Times New Roman"/>
          <w:sz w:val="24"/>
          <w:szCs w:val="24"/>
        </w:rPr>
        <w:t>di Bursa Efek Indonesia wajib untuk menyampaikan laporan keuangan tahunannya secara berkala dan tepat waktu. Keputusan Ketua Badan Pengawas Pasar Modal dan Lemb</w:t>
      </w:r>
      <w:r w:rsidR="00392757">
        <w:rPr>
          <w:rFonts w:ascii="Times New Roman" w:hAnsi="Times New Roman"/>
          <w:sz w:val="24"/>
          <w:szCs w:val="24"/>
        </w:rPr>
        <w:t>aga Keuangan (Bapepam-LK) Nomor</w:t>
      </w:r>
      <w:r w:rsidRPr="00CC4F49">
        <w:rPr>
          <w:rFonts w:ascii="Times New Roman" w:hAnsi="Times New Roman"/>
          <w:sz w:val="24"/>
          <w:szCs w:val="24"/>
        </w:rPr>
        <w:t>: KEP 346/BL/2011 tentang Penyampaian Laporan Keuangan Berkala Emiten atau Perusahaan Publik mnjelaskan bah</w:t>
      </w:r>
      <w:r>
        <w:rPr>
          <w:rFonts w:ascii="Times New Roman" w:hAnsi="Times New Roman"/>
          <w:sz w:val="24"/>
          <w:szCs w:val="24"/>
        </w:rPr>
        <w:t>wa batas akhir perusahaan publik</w:t>
      </w:r>
      <w:r w:rsidRPr="00CC4F49">
        <w:rPr>
          <w:rFonts w:ascii="Times New Roman" w:hAnsi="Times New Roman"/>
          <w:sz w:val="24"/>
          <w:szCs w:val="24"/>
        </w:rPr>
        <w:t xml:space="preserve"> melaporkan laporan keuangan tahunannya adalah 3(tiga) b</w:t>
      </w:r>
      <w:r>
        <w:rPr>
          <w:rFonts w:ascii="Times New Roman" w:hAnsi="Times New Roman"/>
          <w:sz w:val="24"/>
          <w:szCs w:val="24"/>
        </w:rPr>
        <w:t xml:space="preserve">ulan sejak tahun buku berakhir. </w:t>
      </w:r>
      <w:r w:rsidRPr="00CC4F49">
        <w:rPr>
          <w:rFonts w:ascii="Times New Roman" w:hAnsi="Times New Roman"/>
          <w:sz w:val="24"/>
          <w:szCs w:val="24"/>
        </w:rPr>
        <w:t xml:space="preserve">Melalui peraturan tersebut perusahaan yang telah </w:t>
      </w:r>
      <w:r w:rsidRPr="00CC4F49">
        <w:rPr>
          <w:rFonts w:ascii="Times New Roman" w:hAnsi="Times New Roman"/>
          <w:i/>
          <w:iCs/>
          <w:sz w:val="24"/>
          <w:szCs w:val="24"/>
        </w:rPr>
        <w:t xml:space="preserve">listing </w:t>
      </w:r>
      <w:r>
        <w:rPr>
          <w:rFonts w:ascii="Times New Roman" w:hAnsi="Times New Roman"/>
          <w:sz w:val="24"/>
          <w:szCs w:val="24"/>
        </w:rPr>
        <w:t xml:space="preserve">di Bursa Efek Indonesia </w:t>
      </w:r>
      <w:r w:rsidRPr="00CC4F49">
        <w:rPr>
          <w:rFonts w:ascii="Times New Roman" w:hAnsi="Times New Roman"/>
          <w:sz w:val="24"/>
          <w:szCs w:val="24"/>
        </w:rPr>
        <w:t>memiliki kewajiban penuh untuk dapat menyampaikan laporan keuangannya secara tepat waktu sesuai dengan waktu yang telah ditentukan.</w:t>
      </w:r>
    </w:p>
    <w:p w:rsidR="00C714BC" w:rsidRPr="008F0A5D" w:rsidRDefault="00C714BC" w:rsidP="008F0A5D">
      <w:pPr>
        <w:pStyle w:val="ListParagraph"/>
        <w:tabs>
          <w:tab w:val="left" w:pos="360"/>
        </w:tabs>
        <w:spacing w:after="0" w:line="480" w:lineRule="auto"/>
        <w:ind w:left="0" w:firstLine="567"/>
        <w:jc w:val="both"/>
        <w:rPr>
          <w:rFonts w:ascii="Times New Roman" w:hAnsi="Times New Roman"/>
          <w:color w:val="000000" w:themeColor="text1"/>
          <w:sz w:val="24"/>
          <w:szCs w:val="24"/>
        </w:rPr>
      </w:pPr>
      <w:r w:rsidRPr="00CC4F49">
        <w:rPr>
          <w:rFonts w:ascii="Times New Roman" w:hAnsi="Times New Roman"/>
          <w:color w:val="000000" w:themeColor="text1"/>
          <w:sz w:val="24"/>
          <w:szCs w:val="24"/>
        </w:rPr>
        <w:t xml:space="preserve">Halim (2000) menyebutkan bahwa </w:t>
      </w:r>
      <w:r w:rsidR="001B40B1" w:rsidRPr="001B40B1">
        <w:rPr>
          <w:rFonts w:ascii="Times New Roman" w:hAnsi="Times New Roman"/>
          <w:color w:val="000000" w:themeColor="text1"/>
          <w:sz w:val="24"/>
          <w:szCs w:val="24"/>
        </w:rPr>
        <w:t>pen</w:t>
      </w:r>
      <w:r w:rsidR="001B40B1">
        <w:rPr>
          <w:rFonts w:ascii="Times New Roman" w:hAnsi="Times New Roman"/>
          <w:color w:val="000000" w:themeColor="text1"/>
          <w:sz w:val="24"/>
          <w:szCs w:val="24"/>
        </w:rPr>
        <w:t xml:space="preserve">ingkatan harga saham perusahaan disebabkan </w:t>
      </w:r>
      <w:r w:rsidRPr="00CC4F49">
        <w:rPr>
          <w:rFonts w:ascii="Times New Roman" w:hAnsi="Times New Roman"/>
          <w:color w:val="000000" w:themeColor="text1"/>
          <w:sz w:val="24"/>
          <w:szCs w:val="24"/>
        </w:rPr>
        <w:t>ketepatan waktu penyajian laporan keuangan dan laporan audit (</w:t>
      </w:r>
      <w:r w:rsidRPr="00CC4F49">
        <w:rPr>
          <w:rFonts w:ascii="Times New Roman" w:hAnsi="Times New Roman"/>
          <w:i/>
          <w:color w:val="000000" w:themeColor="text1"/>
          <w:sz w:val="24"/>
          <w:szCs w:val="24"/>
        </w:rPr>
        <w:t>timeliness</w:t>
      </w:r>
      <w:r w:rsidR="001B40B1">
        <w:rPr>
          <w:rFonts w:ascii="Times New Roman" w:hAnsi="Times New Roman"/>
          <w:color w:val="000000" w:themeColor="text1"/>
          <w:sz w:val="24"/>
          <w:szCs w:val="24"/>
        </w:rPr>
        <w:t xml:space="preserve">). </w:t>
      </w:r>
      <w:r w:rsidRPr="00CC4F49">
        <w:rPr>
          <w:rFonts w:ascii="Times New Roman" w:hAnsi="Times New Roman"/>
          <w:sz w:val="24"/>
          <w:szCs w:val="24"/>
        </w:rPr>
        <w:t xml:space="preserve">Lamanya waktu penyelesaian audit oleh auditor dilihat dari perbedaan </w:t>
      </w:r>
      <w:r w:rsidRPr="00CC4F49">
        <w:rPr>
          <w:rFonts w:ascii="Times New Roman" w:hAnsi="Times New Roman"/>
          <w:sz w:val="24"/>
          <w:szCs w:val="24"/>
        </w:rPr>
        <w:lastRenderedPageBreak/>
        <w:t xml:space="preserve">waktu tanggal laporan keuangan dengan tanggal opini audit dalam laporan keuangan. </w:t>
      </w:r>
      <w:r w:rsidRPr="00CC4F49">
        <w:rPr>
          <w:rFonts w:ascii="Times New Roman" w:hAnsi="Times New Roman"/>
          <w:color w:val="000000" w:themeColor="text1"/>
          <w:sz w:val="24"/>
          <w:szCs w:val="24"/>
        </w:rPr>
        <w:t xml:space="preserve">Perbedaan waktu ini disebut audit delay (Subekti dan Widiyanti 2004). </w:t>
      </w:r>
      <w:r>
        <w:rPr>
          <w:rFonts w:ascii="Times New Roman" w:hAnsi="Times New Roman"/>
          <w:color w:val="000000" w:themeColor="text1"/>
          <w:sz w:val="24"/>
          <w:szCs w:val="24"/>
        </w:rPr>
        <w:t>Chambers dan Penman</w:t>
      </w:r>
      <w:r w:rsidR="00431EA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dalam Subekti, </w:t>
      </w:r>
      <w:r w:rsidRPr="00117EFF">
        <w:rPr>
          <w:rFonts w:ascii="Times New Roman" w:hAnsi="Times New Roman"/>
          <w:color w:val="000000" w:themeColor="text1"/>
          <w:sz w:val="24"/>
          <w:szCs w:val="24"/>
        </w:rPr>
        <w:t xml:space="preserve">2004) menunjukkan bahwa </w:t>
      </w:r>
      <w:r w:rsidRPr="00117EFF">
        <w:rPr>
          <w:rFonts w:ascii="Times New Roman" w:hAnsi="Times New Roman"/>
          <w:sz w:val="24"/>
          <w:szCs w:val="24"/>
        </w:rPr>
        <w:t xml:space="preserve">pengumuman laba yang terlambat menyebabkan </w:t>
      </w:r>
      <w:r w:rsidRPr="00117EFF">
        <w:rPr>
          <w:rFonts w:ascii="Times New Roman" w:hAnsi="Times New Roman"/>
          <w:i/>
          <w:sz w:val="24"/>
          <w:szCs w:val="24"/>
        </w:rPr>
        <w:t>abnormal returns</w:t>
      </w:r>
      <w:r w:rsidRPr="00117EFF">
        <w:rPr>
          <w:rFonts w:ascii="Times New Roman" w:hAnsi="Times New Roman"/>
          <w:sz w:val="24"/>
          <w:szCs w:val="24"/>
        </w:rPr>
        <w:t xml:space="preserve"> negatif sedangkan pengumuman laba yang lebih cepa</w:t>
      </w:r>
      <w:r w:rsidR="001B40B1">
        <w:rPr>
          <w:rFonts w:ascii="Times New Roman" w:hAnsi="Times New Roman"/>
          <w:sz w:val="24"/>
          <w:szCs w:val="24"/>
        </w:rPr>
        <w:t xml:space="preserve">t menunjukkan hasil sebaliknya. Apabila terjadi </w:t>
      </w:r>
      <w:r w:rsidRPr="00117EFF">
        <w:rPr>
          <w:rFonts w:ascii="Times New Roman" w:hAnsi="Times New Roman"/>
          <w:sz w:val="24"/>
          <w:szCs w:val="24"/>
        </w:rPr>
        <w:t>keterlambatan pelaporan keuangan merupakan pertanda buruk bagi kondisi kesehatan perusahaan. Sebagaimana tercantum dalam Standar Profesional Akuntan Publik (SPAP) dari Ikatan Akuntan Indonesia (IAI) tentang Standar Pekerjaan Lapangan yang mengatur prosedur dalam penyelesaian pekerjaan lapangan bagi auditor, bahwa auditor perlu memiliki perencanaan atas aktivitas yang akan dilakukan. Menurut Subekti dan Widiyanti (2004), pelaksanaan audit yang makin sesuai dengan standar membutuhkan waktu lebih lama, sebaliknya makin ti</w:t>
      </w:r>
      <w:r w:rsidR="009D005C">
        <w:rPr>
          <w:rFonts w:ascii="Times New Roman" w:hAnsi="Times New Roman"/>
          <w:sz w:val="24"/>
          <w:szCs w:val="24"/>
        </w:rPr>
        <w:t xml:space="preserve">dak sesuai dengan standar makin singkat </w:t>
      </w:r>
      <w:r w:rsidRPr="00117EFF">
        <w:rPr>
          <w:rFonts w:ascii="Times New Roman" w:hAnsi="Times New Roman"/>
          <w:sz w:val="24"/>
          <w:szCs w:val="24"/>
        </w:rPr>
        <w:t>waktu yang diperlukan.</w:t>
      </w:r>
    </w:p>
    <w:p w:rsidR="00C714BC" w:rsidRDefault="00C714BC" w:rsidP="00C714BC">
      <w:pPr>
        <w:pStyle w:val="ListParagraph"/>
        <w:tabs>
          <w:tab w:val="left" w:pos="360"/>
        </w:tabs>
        <w:spacing w:after="0" w:line="480" w:lineRule="auto"/>
        <w:ind w:left="0" w:firstLine="567"/>
        <w:jc w:val="both"/>
        <w:rPr>
          <w:rFonts w:ascii="Times New Roman" w:hAnsi="Times New Roman"/>
          <w:sz w:val="24"/>
          <w:szCs w:val="24"/>
        </w:rPr>
      </w:pPr>
      <w:r w:rsidRPr="00117EFF">
        <w:rPr>
          <w:rFonts w:ascii="Times New Roman" w:hAnsi="Times New Roman"/>
          <w:sz w:val="24"/>
          <w:szCs w:val="24"/>
        </w:rPr>
        <w:t>Pada dasarnya banyak faktor yang dapat meny</w:t>
      </w:r>
      <w:r w:rsidR="001B40B1">
        <w:rPr>
          <w:rFonts w:ascii="Times New Roman" w:hAnsi="Times New Roman"/>
          <w:sz w:val="24"/>
          <w:szCs w:val="24"/>
        </w:rPr>
        <w:t xml:space="preserve">ebabkan terjadinya audit delay. </w:t>
      </w:r>
      <w:r w:rsidRPr="00117EFF">
        <w:rPr>
          <w:rFonts w:ascii="Times New Roman" w:hAnsi="Times New Roman"/>
          <w:sz w:val="24"/>
          <w:szCs w:val="24"/>
        </w:rPr>
        <w:t>Dalam penelitian ini, menggunakan variabel profitabilitas dan solvabilitas karena profitabilitas dan solvabilitas dapat mencerminkan dari kinerja perusahaan tersebut. Profitabilitas adalah kemampuan perusahaan</w:t>
      </w:r>
      <w:r w:rsidR="009D005C">
        <w:rPr>
          <w:rFonts w:ascii="Times New Roman" w:hAnsi="Times New Roman"/>
          <w:sz w:val="24"/>
          <w:szCs w:val="24"/>
        </w:rPr>
        <w:t xml:space="preserve"> dalam menghasilkan laba selama kurun </w:t>
      </w:r>
      <w:r w:rsidRPr="00117EFF">
        <w:rPr>
          <w:rFonts w:ascii="Times New Roman" w:hAnsi="Times New Roman"/>
          <w:sz w:val="24"/>
          <w:szCs w:val="24"/>
        </w:rPr>
        <w:t>periode tertentu. Perolehan laba biasanya</w:t>
      </w:r>
      <w:r w:rsidR="002E56C5">
        <w:rPr>
          <w:rFonts w:ascii="Times New Roman" w:hAnsi="Times New Roman"/>
          <w:sz w:val="24"/>
          <w:szCs w:val="24"/>
        </w:rPr>
        <w:t xml:space="preserve"> menjadi </w:t>
      </w:r>
      <w:r w:rsidRPr="00117EFF">
        <w:rPr>
          <w:rFonts w:ascii="Times New Roman" w:hAnsi="Times New Roman"/>
          <w:sz w:val="24"/>
          <w:szCs w:val="24"/>
        </w:rPr>
        <w:t>suatu pertanda baik</w:t>
      </w:r>
      <w:r w:rsidR="00202653">
        <w:rPr>
          <w:rFonts w:ascii="Times New Roman" w:hAnsi="Times New Roman"/>
          <w:sz w:val="24"/>
          <w:szCs w:val="24"/>
        </w:rPr>
        <w:t xml:space="preserve"> yang dikirimkan ke pasar untuk mendapat tanggapan </w:t>
      </w:r>
      <w:r w:rsidRPr="00117EFF">
        <w:rPr>
          <w:rFonts w:ascii="Times New Roman" w:hAnsi="Times New Roman"/>
          <w:sz w:val="24"/>
          <w:szCs w:val="24"/>
        </w:rPr>
        <w:t>positif pasar. Perusahaan yang mengumumkan laba biasanya tingkat audit delay-nya men</w:t>
      </w:r>
      <w:r w:rsidR="002E56C5">
        <w:rPr>
          <w:rFonts w:ascii="Times New Roman" w:hAnsi="Times New Roman"/>
          <w:sz w:val="24"/>
          <w:szCs w:val="24"/>
        </w:rPr>
        <w:t xml:space="preserve">jadi lebih pendek. Hal tersebut disebabkan </w:t>
      </w:r>
      <w:r w:rsidRPr="00117EFF">
        <w:rPr>
          <w:rFonts w:ascii="Times New Roman" w:hAnsi="Times New Roman"/>
          <w:sz w:val="24"/>
          <w:szCs w:val="24"/>
        </w:rPr>
        <w:t xml:space="preserve">laba yang diperoleh perusahaan ingin segera diberitahukan kepada pihak ekternal. Sehingga perusahaan dengan perolehan laba lebih cenderung </w:t>
      </w:r>
      <w:r w:rsidRPr="00117EFF">
        <w:rPr>
          <w:rFonts w:ascii="Times New Roman" w:hAnsi="Times New Roman"/>
          <w:sz w:val="24"/>
          <w:szCs w:val="24"/>
        </w:rPr>
        <w:lastRenderedPageBreak/>
        <w:t xml:space="preserve">segera menerbitkan laporan keuangannya. Penelitian yang dilakukan Yugo Trianto (2006) pada perusahaan </w:t>
      </w:r>
      <w:r w:rsidRPr="00117EFF">
        <w:rPr>
          <w:rFonts w:ascii="Times New Roman" w:hAnsi="Times New Roman"/>
          <w:i/>
          <w:sz w:val="24"/>
          <w:szCs w:val="24"/>
        </w:rPr>
        <w:t>go public</w:t>
      </w:r>
      <w:r w:rsidRPr="00117EFF">
        <w:rPr>
          <w:rFonts w:ascii="Times New Roman" w:hAnsi="Times New Roman"/>
          <w:sz w:val="24"/>
          <w:szCs w:val="24"/>
        </w:rPr>
        <w:t xml:space="preserve"> yang terdaftar di Bursa Efek Indonesia pada tahun 2004 telah membuktikan bahwa profitabilitas mempunyai pengaruh yang signifikan terhadap audit </w:t>
      </w:r>
      <w:r w:rsidR="00DD1251">
        <w:rPr>
          <w:rFonts w:ascii="Times New Roman" w:hAnsi="Times New Roman"/>
          <w:sz w:val="24"/>
          <w:szCs w:val="24"/>
        </w:rPr>
        <w:t xml:space="preserve">delay. </w:t>
      </w:r>
      <w:r w:rsidRPr="00117EFF">
        <w:rPr>
          <w:rFonts w:ascii="Times New Roman" w:hAnsi="Times New Roman"/>
          <w:sz w:val="24"/>
          <w:szCs w:val="24"/>
        </w:rPr>
        <w:t>Namun, penelitian Supriyati (2007) mendapatkan hasil yang berbeda, hasil penelitiannya menunjukan bahwa profitabilitas tidak berpengaruh signifikan terhadap audit delay.</w:t>
      </w:r>
    </w:p>
    <w:p w:rsidR="00C714BC" w:rsidRDefault="00C714BC" w:rsidP="00C714BC">
      <w:pPr>
        <w:pStyle w:val="ListParagraph"/>
        <w:tabs>
          <w:tab w:val="left" w:pos="360"/>
        </w:tabs>
        <w:spacing w:after="0" w:line="480" w:lineRule="auto"/>
        <w:ind w:left="0" w:firstLine="567"/>
        <w:jc w:val="both"/>
        <w:rPr>
          <w:rFonts w:ascii="Times New Roman" w:hAnsi="Times New Roman"/>
          <w:sz w:val="24"/>
          <w:szCs w:val="24"/>
        </w:rPr>
      </w:pPr>
      <w:r w:rsidRPr="00117EFF">
        <w:rPr>
          <w:rFonts w:ascii="Times New Roman" w:hAnsi="Times New Roman"/>
          <w:sz w:val="24"/>
          <w:szCs w:val="24"/>
        </w:rPr>
        <w:t>Solvabilitas adalah kemampuan suatu perusahaan untuk memenuhi semua kewajibannya, baik kewajiban jangka panjang ataupun jangka pendek. Jika rasio solvabilitas semakin tinggi maka akan</w:t>
      </w:r>
      <w:r w:rsidR="00202653">
        <w:rPr>
          <w:rFonts w:ascii="Times New Roman" w:hAnsi="Times New Roman"/>
          <w:sz w:val="24"/>
          <w:szCs w:val="24"/>
        </w:rPr>
        <w:t xml:space="preserve"> membutuhkan</w:t>
      </w:r>
      <w:r w:rsidRPr="00117EFF">
        <w:rPr>
          <w:rFonts w:ascii="Times New Roman" w:hAnsi="Times New Roman"/>
          <w:sz w:val="24"/>
          <w:szCs w:val="24"/>
        </w:rPr>
        <w:t xml:space="preserve"> waktu yang lebih</w:t>
      </w:r>
      <w:r w:rsidR="00202653">
        <w:rPr>
          <w:rFonts w:ascii="Times New Roman" w:hAnsi="Times New Roman"/>
          <w:sz w:val="24"/>
          <w:szCs w:val="24"/>
        </w:rPr>
        <w:t xml:space="preserve"> lama </w:t>
      </w:r>
      <w:r w:rsidR="002E56C5">
        <w:rPr>
          <w:rFonts w:ascii="Times New Roman" w:hAnsi="Times New Roman"/>
          <w:sz w:val="24"/>
          <w:szCs w:val="24"/>
        </w:rPr>
        <w:t xml:space="preserve">lagi untuk </w:t>
      </w:r>
      <w:r w:rsidR="00202653">
        <w:rPr>
          <w:rFonts w:ascii="Times New Roman" w:hAnsi="Times New Roman"/>
          <w:sz w:val="24"/>
          <w:szCs w:val="24"/>
        </w:rPr>
        <w:t xml:space="preserve">melakukan proses </w:t>
      </w:r>
      <w:r w:rsidRPr="00117EFF">
        <w:rPr>
          <w:rFonts w:ascii="Times New Roman" w:hAnsi="Times New Roman"/>
          <w:sz w:val="24"/>
          <w:szCs w:val="24"/>
        </w:rPr>
        <w:t xml:space="preserve">audit. Karena proses audit yang dilakukan akan memakan banyak waktu sebab auditor perlu banyak keyakinan untuk menilai kewajaran dari tingkat hutang yang dimiliki perusahaan maupun kemampuan perusahaan dalam memenuhinya. Carlaw dan Kaplan (1991) dalam Yugo Trianto (2006) menemukan pengaruh yang signifikan antara solvabilitas yang diukur dari </w:t>
      </w:r>
      <w:r w:rsidRPr="00117EFF">
        <w:rPr>
          <w:rFonts w:ascii="Times New Roman" w:hAnsi="Times New Roman"/>
          <w:i/>
          <w:sz w:val="24"/>
          <w:szCs w:val="24"/>
        </w:rPr>
        <w:t>Total Debt to Total Asset Ratio</w:t>
      </w:r>
      <w:r w:rsidRPr="00117EFF">
        <w:rPr>
          <w:rFonts w:ascii="Times New Roman" w:hAnsi="Times New Roman"/>
          <w:sz w:val="24"/>
          <w:szCs w:val="24"/>
        </w:rPr>
        <w:t xml:space="preserve"> (TDTA) terhadap audit delay. Namun, penelitian Sistya Rachmawati (2008) pada perusahaan manufaktur yang terdaftar di Bursa Efek In</w:t>
      </w:r>
      <w:r w:rsidR="002E56C5">
        <w:rPr>
          <w:rFonts w:ascii="Times New Roman" w:hAnsi="Times New Roman"/>
          <w:sz w:val="24"/>
          <w:szCs w:val="24"/>
        </w:rPr>
        <w:t xml:space="preserve">donesia periode tahun 2003-2005 mengatakan </w:t>
      </w:r>
      <w:r w:rsidRPr="00117EFF">
        <w:rPr>
          <w:rFonts w:ascii="Times New Roman" w:hAnsi="Times New Roman"/>
          <w:sz w:val="24"/>
          <w:szCs w:val="24"/>
        </w:rPr>
        <w:t>bahwa variabel solvabilitas tidak berpengaruh signifikan terhadap audit delay.</w:t>
      </w:r>
    </w:p>
    <w:p w:rsidR="00C714BC" w:rsidRDefault="00C714BC" w:rsidP="00C714BC">
      <w:pPr>
        <w:pStyle w:val="ListParagraph"/>
        <w:tabs>
          <w:tab w:val="left" w:pos="360"/>
        </w:tabs>
        <w:spacing w:after="0" w:line="480" w:lineRule="auto"/>
        <w:ind w:left="0" w:firstLine="567"/>
        <w:jc w:val="both"/>
        <w:rPr>
          <w:rFonts w:ascii="Times New Roman" w:hAnsi="Times New Roman"/>
          <w:sz w:val="24"/>
          <w:szCs w:val="24"/>
        </w:rPr>
      </w:pPr>
      <w:r w:rsidRPr="00117EFF">
        <w:rPr>
          <w:rFonts w:ascii="Times New Roman" w:hAnsi="Times New Roman"/>
          <w:sz w:val="24"/>
          <w:szCs w:val="24"/>
        </w:rPr>
        <w:t xml:space="preserve">Berdasarkan ketidakkonsistenan yang terdapat dalam penelitian tersebut, maka peneliti ingin melakukan penelitian mengenai pengaruh profitabilitas dan solvabilitas terhadap audit delay dengan menambahkan variabel reputasi kantor akuntan publik sebagai variabel moderasi. Kantor Akuntan Publik (KAP) selaku penyedia jasa audit </w:t>
      </w:r>
      <w:r w:rsidRPr="00117EFF">
        <w:rPr>
          <w:rFonts w:ascii="Times New Roman" w:hAnsi="Times New Roman"/>
          <w:sz w:val="24"/>
          <w:szCs w:val="24"/>
        </w:rPr>
        <w:lastRenderedPageBreak/>
        <w:t xml:space="preserve">independen diyakini memiliki pengaruh terhadap kinerja audit. Sebuah KAP akan bertumbuh dan berkembang menjadi KAP yang besar karena memiliki reputasi yang baik di mata publik. </w:t>
      </w:r>
      <w:r w:rsidRPr="00117EFF">
        <w:rPr>
          <w:rFonts w:ascii="Times New Roman" w:hAnsi="Times New Roman"/>
          <w:color w:val="000000" w:themeColor="text1"/>
          <w:sz w:val="24"/>
          <w:szCs w:val="24"/>
        </w:rPr>
        <w:t xml:space="preserve">Ashton et al. (1989) dalam penelitiannya menyebutkan bahwa </w:t>
      </w:r>
      <w:r w:rsidRPr="00117EFF">
        <w:rPr>
          <w:rFonts w:ascii="Times New Roman" w:hAnsi="Times New Roman"/>
          <w:sz w:val="24"/>
          <w:szCs w:val="24"/>
        </w:rPr>
        <w:t xml:space="preserve">KAP dengan pengalaman yang lebih banyak cenderung akan menyelesaikan proses audit dalam kurun waktu yang lebih singkat. Besar kemungkinan bagi KAP tersebut untuk mengembangkan spesialisasi audit dan keahlian pada atau industri tertentu, yang diharapkan mampu menghasilkan pekerjaan audit yang lebih efisien (Che-Ahmad dan Abidin, 2008).  </w:t>
      </w:r>
    </w:p>
    <w:p w:rsidR="001C03D2" w:rsidRDefault="00C714BC" w:rsidP="00C714BC">
      <w:pPr>
        <w:pStyle w:val="ListParagraph"/>
        <w:tabs>
          <w:tab w:val="left" w:pos="360"/>
        </w:tabs>
        <w:spacing w:after="0" w:line="480" w:lineRule="auto"/>
        <w:ind w:left="0" w:firstLine="567"/>
        <w:jc w:val="both"/>
        <w:rPr>
          <w:rFonts w:ascii="Times New Roman" w:hAnsi="Times New Roman"/>
          <w:sz w:val="24"/>
          <w:szCs w:val="24"/>
        </w:rPr>
      </w:pPr>
      <w:r w:rsidRPr="00117EFF">
        <w:rPr>
          <w:rFonts w:ascii="Times New Roman" w:hAnsi="Times New Roman"/>
          <w:sz w:val="24"/>
          <w:szCs w:val="24"/>
        </w:rPr>
        <w:t xml:space="preserve">Pada penelitian ini perusahaan yang akan diteliti adalah perusahaan pada sektor properti yang terdaftar di Bursa Efek Indonesia. Hal ini disebabkan karena perusahaan sektor properti mempunyai sifat yang unik, </w:t>
      </w:r>
      <w:r w:rsidRPr="00117EFF">
        <w:rPr>
          <w:rFonts w:ascii="Times New Roman" w:hAnsi="Times New Roman"/>
          <w:i/>
          <w:sz w:val="24"/>
          <w:szCs w:val="24"/>
        </w:rPr>
        <w:t>supply</w:t>
      </w:r>
      <w:r w:rsidRPr="00117EFF">
        <w:rPr>
          <w:rFonts w:ascii="Times New Roman" w:hAnsi="Times New Roman"/>
          <w:sz w:val="24"/>
          <w:szCs w:val="24"/>
        </w:rPr>
        <w:t xml:space="preserve"> tanah yang bersifat tetap sedangkan </w:t>
      </w:r>
      <w:r w:rsidRPr="00117EFF">
        <w:rPr>
          <w:rFonts w:ascii="Times New Roman" w:hAnsi="Times New Roman"/>
          <w:i/>
          <w:sz w:val="24"/>
          <w:szCs w:val="24"/>
        </w:rPr>
        <w:t>demand</w:t>
      </w:r>
      <w:r w:rsidRPr="00117EFF">
        <w:rPr>
          <w:rFonts w:ascii="Times New Roman" w:hAnsi="Times New Roman"/>
          <w:sz w:val="24"/>
          <w:szCs w:val="24"/>
        </w:rPr>
        <w:t xml:space="preserve"> nya selalu bertambah besar seiring dengan pertambahan jumlah penduduk serta bertambahnya kebutuhan manusia akan kebutuhan tempat tinggal, perkantoran, perbelanjaan, taman hiburan dan lain-lain. Maka dari itu perusahaan sektor properti mendapat banyak perhatian dari </w:t>
      </w:r>
      <w:r w:rsidR="002E56C5">
        <w:rPr>
          <w:rFonts w:ascii="Times New Roman" w:hAnsi="Times New Roman"/>
          <w:sz w:val="24"/>
          <w:szCs w:val="24"/>
        </w:rPr>
        <w:t xml:space="preserve">investor, karena tentu saja ini </w:t>
      </w:r>
      <w:r w:rsidRPr="00117EFF">
        <w:rPr>
          <w:rFonts w:ascii="Times New Roman" w:hAnsi="Times New Roman"/>
          <w:sz w:val="24"/>
          <w:szCs w:val="24"/>
        </w:rPr>
        <w:t xml:space="preserve">menjanjikan untuk berinvestasi. Perusahan sektor properti memiliki peranan besar dalam menopang perekonomian Indonesia. </w:t>
      </w:r>
    </w:p>
    <w:p w:rsidR="00CC3B90" w:rsidRDefault="00CC3B90" w:rsidP="00C714BC">
      <w:pPr>
        <w:pStyle w:val="ListParagraph"/>
        <w:tabs>
          <w:tab w:val="left" w:pos="360"/>
        </w:tabs>
        <w:spacing w:after="0" w:line="480" w:lineRule="auto"/>
        <w:ind w:left="0" w:firstLine="567"/>
        <w:jc w:val="both"/>
        <w:rPr>
          <w:rFonts w:ascii="Times New Roman" w:hAnsi="Times New Roman"/>
          <w:sz w:val="24"/>
          <w:szCs w:val="24"/>
        </w:rPr>
      </w:pPr>
      <w:r>
        <w:rPr>
          <w:rFonts w:ascii="Times New Roman" w:hAnsi="Times New Roman"/>
          <w:sz w:val="24"/>
          <w:szCs w:val="24"/>
        </w:rPr>
        <w:t xml:space="preserve">Berdasarkan uraian tersebut, rumusan masalah yang dapat diambil adalah: 1) </w:t>
      </w:r>
      <w:r w:rsidRPr="00CC3B90">
        <w:rPr>
          <w:rFonts w:ascii="Times New Roman" w:hAnsi="Times New Roman"/>
          <w:sz w:val="24"/>
          <w:szCs w:val="24"/>
        </w:rPr>
        <w:t xml:space="preserve">Apakah profitabilitas mempengaruhi audit </w:t>
      </w:r>
      <w:r>
        <w:rPr>
          <w:rFonts w:ascii="Times New Roman" w:hAnsi="Times New Roman"/>
          <w:sz w:val="24"/>
          <w:szCs w:val="24"/>
        </w:rPr>
        <w:t xml:space="preserve">delay perusahaan properti yang </w:t>
      </w:r>
      <w:r w:rsidRPr="00CC3B90">
        <w:rPr>
          <w:rFonts w:ascii="Times New Roman" w:hAnsi="Times New Roman"/>
          <w:sz w:val="24"/>
          <w:szCs w:val="24"/>
        </w:rPr>
        <w:t>terdaftar di Bursa Efek Indonesia</w:t>
      </w:r>
      <w:r>
        <w:rPr>
          <w:rFonts w:ascii="Times New Roman" w:hAnsi="Times New Roman"/>
          <w:sz w:val="24"/>
          <w:szCs w:val="24"/>
        </w:rPr>
        <w:t>?</w:t>
      </w:r>
      <w:r w:rsidR="004B5D67">
        <w:rPr>
          <w:rFonts w:ascii="Times New Roman" w:hAnsi="Times New Roman"/>
          <w:sz w:val="24"/>
          <w:szCs w:val="24"/>
        </w:rPr>
        <w:t xml:space="preserve">; 2) </w:t>
      </w:r>
      <w:r w:rsidR="004B5D67" w:rsidRPr="004B5D67">
        <w:rPr>
          <w:rFonts w:ascii="Times New Roman" w:hAnsi="Times New Roman"/>
          <w:sz w:val="24"/>
          <w:szCs w:val="24"/>
        </w:rPr>
        <w:t>Apakah solvabilitas mempengaruhi audit delay perusahaan properti yang terdaftar di Bursa Efek Indonesia</w:t>
      </w:r>
      <w:r w:rsidR="004B5D67">
        <w:rPr>
          <w:rFonts w:ascii="Times New Roman" w:hAnsi="Times New Roman"/>
          <w:sz w:val="24"/>
          <w:szCs w:val="24"/>
        </w:rPr>
        <w:t xml:space="preserve">?; 3) </w:t>
      </w:r>
      <w:r w:rsidR="004B5D67" w:rsidRPr="004B5D67">
        <w:rPr>
          <w:rFonts w:ascii="Times New Roman" w:hAnsi="Times New Roman"/>
          <w:sz w:val="24"/>
          <w:szCs w:val="24"/>
        </w:rPr>
        <w:t xml:space="preserve">Apakah reputasi kantor akuntan publik mampu memoderasi pengaruh profitabilitas terhadap audit delay perusahaan </w:t>
      </w:r>
      <w:r w:rsidR="004B5D67" w:rsidRPr="004B5D67">
        <w:rPr>
          <w:rFonts w:ascii="Times New Roman" w:hAnsi="Times New Roman"/>
          <w:sz w:val="24"/>
          <w:szCs w:val="24"/>
        </w:rPr>
        <w:lastRenderedPageBreak/>
        <w:t>properti yang ter</w:t>
      </w:r>
      <w:r w:rsidR="004B5D67">
        <w:rPr>
          <w:rFonts w:ascii="Times New Roman" w:hAnsi="Times New Roman"/>
          <w:sz w:val="24"/>
          <w:szCs w:val="24"/>
        </w:rPr>
        <w:t>daftar di Bursa Efek Indonesia</w:t>
      </w:r>
      <w:r w:rsidR="004B5D67" w:rsidRPr="004B5D67">
        <w:rPr>
          <w:rFonts w:ascii="Times New Roman" w:hAnsi="Times New Roman"/>
          <w:sz w:val="24"/>
          <w:szCs w:val="24"/>
        </w:rPr>
        <w:t>?</w:t>
      </w:r>
      <w:r w:rsidR="004B5D67">
        <w:rPr>
          <w:rFonts w:ascii="Times New Roman" w:hAnsi="Times New Roman"/>
          <w:sz w:val="24"/>
          <w:szCs w:val="24"/>
        </w:rPr>
        <w:t xml:space="preserve">; 4) </w:t>
      </w:r>
      <w:r w:rsidR="004B5D67" w:rsidRPr="004B5D67">
        <w:rPr>
          <w:rFonts w:ascii="Times New Roman" w:hAnsi="Times New Roman"/>
          <w:sz w:val="24"/>
          <w:szCs w:val="24"/>
        </w:rPr>
        <w:t>Apakah reputasi kantor akuntan publik mampu memoderasi pengaruh solvabilitas terhadap audit delay perusahaan properti yang te</w:t>
      </w:r>
      <w:r w:rsidR="004B5D67">
        <w:rPr>
          <w:rFonts w:ascii="Times New Roman" w:hAnsi="Times New Roman"/>
          <w:sz w:val="24"/>
          <w:szCs w:val="24"/>
        </w:rPr>
        <w:t>rdaftar di Bursa Efek Indonesia</w:t>
      </w:r>
      <w:r w:rsidR="004B5D67" w:rsidRPr="004B5D67">
        <w:rPr>
          <w:rFonts w:ascii="Times New Roman" w:hAnsi="Times New Roman"/>
          <w:sz w:val="24"/>
          <w:szCs w:val="24"/>
        </w:rPr>
        <w:t>?</w:t>
      </w:r>
    </w:p>
    <w:p w:rsidR="004B5D67" w:rsidRDefault="004B5D67" w:rsidP="00C714BC">
      <w:pPr>
        <w:pStyle w:val="ListParagraph"/>
        <w:tabs>
          <w:tab w:val="left" w:pos="360"/>
        </w:tabs>
        <w:spacing w:after="0" w:line="480" w:lineRule="auto"/>
        <w:ind w:left="0" w:firstLine="567"/>
        <w:jc w:val="both"/>
        <w:rPr>
          <w:rFonts w:ascii="Times New Roman" w:hAnsi="Times New Roman"/>
          <w:sz w:val="24"/>
          <w:szCs w:val="24"/>
        </w:rPr>
      </w:pPr>
      <w:r>
        <w:rPr>
          <w:rFonts w:ascii="Times New Roman" w:hAnsi="Times New Roman"/>
          <w:sz w:val="24"/>
          <w:szCs w:val="24"/>
        </w:rPr>
        <w:t xml:space="preserve">Tujuan dari penelitian ini adalah: 1) </w:t>
      </w:r>
      <w:r w:rsidRPr="004B5D67">
        <w:rPr>
          <w:rFonts w:ascii="Times New Roman" w:hAnsi="Times New Roman"/>
          <w:sz w:val="24"/>
          <w:szCs w:val="24"/>
        </w:rPr>
        <w:t>Untuk mengetahui apakah profitabilitas mempengaruhi audit delay perusahaan properti yang terdaftar</w:t>
      </w:r>
      <w:r>
        <w:rPr>
          <w:rFonts w:ascii="Times New Roman" w:hAnsi="Times New Roman"/>
          <w:sz w:val="24"/>
          <w:szCs w:val="24"/>
        </w:rPr>
        <w:t xml:space="preserve"> di Bursa Efek Indonesia; 2) </w:t>
      </w:r>
      <w:r w:rsidRPr="004B5D67">
        <w:rPr>
          <w:rFonts w:ascii="Times New Roman" w:hAnsi="Times New Roman"/>
          <w:sz w:val="24"/>
          <w:szCs w:val="24"/>
        </w:rPr>
        <w:t>Untuk mengetahui apakah solvabilitas mempengaruhi audit delay perusahaan properti yang te</w:t>
      </w:r>
      <w:r>
        <w:rPr>
          <w:rFonts w:ascii="Times New Roman" w:hAnsi="Times New Roman"/>
          <w:sz w:val="24"/>
          <w:szCs w:val="24"/>
        </w:rPr>
        <w:t xml:space="preserve">rdaftar di Bursa Efek Indonesia; 3) </w:t>
      </w:r>
      <w:r w:rsidRPr="004B5D67">
        <w:rPr>
          <w:rFonts w:ascii="Times New Roman" w:hAnsi="Times New Roman"/>
          <w:sz w:val="24"/>
          <w:szCs w:val="24"/>
        </w:rPr>
        <w:t>Untuk mengetahui apakah reputasi kantor akuntan publik mampu memoderasi pengaruh profitabilitas terhadap audit delay perusahaan properti yang te</w:t>
      </w:r>
      <w:r>
        <w:rPr>
          <w:rFonts w:ascii="Times New Roman" w:hAnsi="Times New Roman"/>
          <w:sz w:val="24"/>
          <w:szCs w:val="24"/>
        </w:rPr>
        <w:t xml:space="preserve">rdaftar di Bursa Efek Indonesia; 4) </w:t>
      </w:r>
      <w:r w:rsidRPr="004B5D67">
        <w:rPr>
          <w:rFonts w:ascii="Times New Roman" w:hAnsi="Times New Roman"/>
          <w:sz w:val="24"/>
          <w:szCs w:val="24"/>
        </w:rPr>
        <w:t xml:space="preserve">Untuk mengetahui apakah reputasi kantor akuntan publik mampu memoderasi pengaruh solvabilitas terhadap audit delay perusahaan properti yang terdaftar di Bursa Efek Indonesia.  </w:t>
      </w:r>
    </w:p>
    <w:p w:rsidR="00DD1251" w:rsidRDefault="002E56C5" w:rsidP="00C714BC">
      <w:pPr>
        <w:pStyle w:val="ListParagraph"/>
        <w:tabs>
          <w:tab w:val="left" w:pos="360"/>
        </w:tabs>
        <w:spacing w:after="0" w:line="480" w:lineRule="auto"/>
        <w:ind w:left="0" w:firstLine="567"/>
        <w:jc w:val="both"/>
        <w:rPr>
          <w:rFonts w:ascii="Times New Roman" w:hAnsi="Times New Roman"/>
          <w:sz w:val="24"/>
          <w:szCs w:val="24"/>
        </w:rPr>
      </w:pPr>
      <w:r>
        <w:rPr>
          <w:rFonts w:ascii="Times New Roman" w:hAnsi="Times New Roman"/>
          <w:sz w:val="24"/>
          <w:szCs w:val="24"/>
        </w:rPr>
        <w:t xml:space="preserve">Hasil penelitian ini diharapkan mampu menambah </w:t>
      </w:r>
      <w:r w:rsidR="0018653E" w:rsidRPr="0018653E">
        <w:rPr>
          <w:rFonts w:ascii="Times New Roman" w:hAnsi="Times New Roman"/>
          <w:sz w:val="24"/>
          <w:szCs w:val="24"/>
        </w:rPr>
        <w:t>pemahaman yang lebih luas mengenai reputasi kantor akuntan publik dalam memoderasi pengaruh profitabilitas dan solvabilitas perusahaan terhadap audit delay dan memberikan manfaat sebagai bahan kajian dan pengujian terhada</w:t>
      </w:r>
      <w:r w:rsidR="0018653E">
        <w:rPr>
          <w:rFonts w:ascii="Times New Roman" w:hAnsi="Times New Roman"/>
          <w:sz w:val="24"/>
          <w:szCs w:val="24"/>
        </w:rPr>
        <w:t>p konsep atau teori audit delay</w:t>
      </w:r>
    </w:p>
    <w:p w:rsidR="004B5D67" w:rsidRDefault="00FA4525" w:rsidP="00C714BC">
      <w:pPr>
        <w:pStyle w:val="ListParagraph"/>
        <w:tabs>
          <w:tab w:val="left" w:pos="360"/>
        </w:tabs>
        <w:spacing w:after="0" w:line="480" w:lineRule="auto"/>
        <w:ind w:left="0" w:firstLine="567"/>
        <w:jc w:val="both"/>
        <w:rPr>
          <w:rFonts w:ascii="Times New Roman" w:hAnsi="Times New Roman"/>
          <w:sz w:val="24"/>
          <w:szCs w:val="24"/>
        </w:rPr>
      </w:pPr>
      <w:r>
        <w:rPr>
          <w:rFonts w:ascii="Times New Roman" w:hAnsi="Times New Roman"/>
          <w:sz w:val="24"/>
          <w:szCs w:val="24"/>
        </w:rPr>
        <w:t xml:space="preserve">Tinjauan teori dari penelitian ini adalah teori keagenan, laporan keuangan, audit, audit delay, profitabilitas, solvabilitas, reputasi kantor akuntan publik. </w:t>
      </w:r>
      <w:r w:rsidR="002175C7" w:rsidRPr="002175C7">
        <w:rPr>
          <w:rFonts w:ascii="Times New Roman" w:hAnsi="Times New Roman"/>
          <w:i/>
          <w:sz w:val="24"/>
          <w:szCs w:val="24"/>
        </w:rPr>
        <w:t>Agency theory</w:t>
      </w:r>
      <w:r w:rsidR="002175C7" w:rsidRPr="002175C7">
        <w:rPr>
          <w:rFonts w:ascii="Times New Roman" w:hAnsi="Times New Roman"/>
          <w:sz w:val="24"/>
          <w:szCs w:val="24"/>
        </w:rPr>
        <w:t xml:space="preserve"> menjelaskan hubungan antara </w:t>
      </w:r>
      <w:r w:rsidR="002175C7" w:rsidRPr="002175C7">
        <w:rPr>
          <w:rFonts w:ascii="Times New Roman" w:hAnsi="Times New Roman"/>
          <w:i/>
          <w:sz w:val="24"/>
          <w:szCs w:val="24"/>
        </w:rPr>
        <w:t>agent</w:t>
      </w:r>
      <w:r w:rsidR="002175C7" w:rsidRPr="002175C7">
        <w:rPr>
          <w:rFonts w:ascii="Times New Roman" w:hAnsi="Times New Roman"/>
          <w:sz w:val="24"/>
          <w:szCs w:val="24"/>
        </w:rPr>
        <w:t xml:space="preserve"> (pihak manajemen suatu perusahaan) dengan </w:t>
      </w:r>
      <w:r w:rsidR="002175C7" w:rsidRPr="002175C7">
        <w:rPr>
          <w:rFonts w:ascii="Times New Roman" w:hAnsi="Times New Roman"/>
          <w:i/>
          <w:sz w:val="24"/>
          <w:szCs w:val="24"/>
        </w:rPr>
        <w:t>principal</w:t>
      </w:r>
      <w:r w:rsidR="002175C7" w:rsidRPr="002175C7">
        <w:rPr>
          <w:rFonts w:ascii="Times New Roman" w:hAnsi="Times New Roman"/>
          <w:sz w:val="24"/>
          <w:szCs w:val="24"/>
        </w:rPr>
        <w:t xml:space="preserve"> (pemilik).</w:t>
      </w:r>
      <w:r w:rsidR="00E1620B">
        <w:rPr>
          <w:rFonts w:ascii="Times New Roman" w:hAnsi="Times New Roman"/>
          <w:sz w:val="24"/>
          <w:szCs w:val="24"/>
        </w:rPr>
        <w:t xml:space="preserve">Teori keagenan digunakan </w:t>
      </w:r>
      <w:r w:rsidR="002175C7" w:rsidRPr="002175C7">
        <w:rPr>
          <w:rFonts w:ascii="Times New Roman" w:hAnsi="Times New Roman"/>
          <w:sz w:val="24"/>
          <w:szCs w:val="24"/>
        </w:rPr>
        <w:t xml:space="preserve">untuk mengatasi dua permasalahan yang dapat terjadi dalam hubungan keagenan. Pertama adalah masalah keagenan yang timbul pada saat keinginan-keinginan atau tujuan-tujuan </w:t>
      </w:r>
      <w:r w:rsidR="002175C7" w:rsidRPr="002175C7">
        <w:rPr>
          <w:rFonts w:ascii="Times New Roman" w:hAnsi="Times New Roman"/>
          <w:i/>
          <w:sz w:val="24"/>
          <w:szCs w:val="24"/>
        </w:rPr>
        <w:t>principal</w:t>
      </w:r>
      <w:r w:rsidR="002175C7" w:rsidRPr="002175C7">
        <w:rPr>
          <w:rFonts w:ascii="Times New Roman" w:hAnsi="Times New Roman"/>
          <w:sz w:val="24"/>
          <w:szCs w:val="24"/>
        </w:rPr>
        <w:t xml:space="preserve"> dan </w:t>
      </w:r>
      <w:r w:rsidR="002175C7" w:rsidRPr="002175C7">
        <w:rPr>
          <w:rFonts w:ascii="Times New Roman" w:hAnsi="Times New Roman"/>
          <w:i/>
          <w:sz w:val="24"/>
          <w:szCs w:val="24"/>
        </w:rPr>
        <w:lastRenderedPageBreak/>
        <w:t>agent</w:t>
      </w:r>
      <w:r w:rsidR="002175C7" w:rsidRPr="002175C7">
        <w:rPr>
          <w:rFonts w:ascii="Times New Roman" w:hAnsi="Times New Roman"/>
          <w:sz w:val="24"/>
          <w:szCs w:val="24"/>
        </w:rPr>
        <w:t xml:space="preserve"> saling berlawanan dan merupakan hal yang sulit bagi </w:t>
      </w:r>
      <w:r w:rsidR="002175C7" w:rsidRPr="002175C7">
        <w:rPr>
          <w:rFonts w:ascii="Times New Roman" w:hAnsi="Times New Roman"/>
          <w:i/>
          <w:sz w:val="24"/>
          <w:szCs w:val="24"/>
        </w:rPr>
        <w:t>principal</w:t>
      </w:r>
      <w:r w:rsidR="00E1620B">
        <w:rPr>
          <w:rFonts w:ascii="Times New Roman" w:hAnsi="Times New Roman"/>
          <w:sz w:val="24"/>
          <w:szCs w:val="24"/>
        </w:rPr>
        <w:t xml:space="preserve"> untuk melakukan pengawasan </w:t>
      </w:r>
      <w:r w:rsidR="002175C7" w:rsidRPr="002175C7">
        <w:rPr>
          <w:rFonts w:ascii="Times New Roman" w:hAnsi="Times New Roman"/>
          <w:sz w:val="24"/>
          <w:szCs w:val="24"/>
        </w:rPr>
        <w:t xml:space="preserve">apakah </w:t>
      </w:r>
      <w:r w:rsidR="002175C7" w:rsidRPr="002175C7">
        <w:rPr>
          <w:rFonts w:ascii="Times New Roman" w:hAnsi="Times New Roman"/>
          <w:i/>
          <w:sz w:val="24"/>
          <w:szCs w:val="24"/>
        </w:rPr>
        <w:t>agent</w:t>
      </w:r>
      <w:r w:rsidR="002175C7" w:rsidRPr="002175C7">
        <w:rPr>
          <w:rFonts w:ascii="Times New Roman" w:hAnsi="Times New Roman"/>
          <w:sz w:val="24"/>
          <w:szCs w:val="24"/>
        </w:rPr>
        <w:t xml:space="preserve"> telah melakukan sesuatu secara tepat. Kedua, adalah masalah pembagian dalam menanggung risiko yang timbul dimana </w:t>
      </w:r>
      <w:r w:rsidR="002175C7" w:rsidRPr="002175C7">
        <w:rPr>
          <w:rFonts w:ascii="Times New Roman" w:hAnsi="Times New Roman"/>
          <w:i/>
          <w:sz w:val="24"/>
          <w:szCs w:val="24"/>
        </w:rPr>
        <w:t>principal</w:t>
      </w:r>
      <w:r w:rsidR="002175C7" w:rsidRPr="002175C7">
        <w:rPr>
          <w:rFonts w:ascii="Times New Roman" w:hAnsi="Times New Roman"/>
          <w:sz w:val="24"/>
          <w:szCs w:val="24"/>
        </w:rPr>
        <w:t xml:space="preserve"> dan </w:t>
      </w:r>
      <w:r w:rsidR="002175C7" w:rsidRPr="002175C7">
        <w:rPr>
          <w:rFonts w:ascii="Times New Roman" w:hAnsi="Times New Roman"/>
          <w:i/>
          <w:sz w:val="24"/>
          <w:szCs w:val="24"/>
        </w:rPr>
        <w:t>agent</w:t>
      </w:r>
      <w:r w:rsidR="002175C7" w:rsidRPr="002175C7">
        <w:rPr>
          <w:rFonts w:ascii="Times New Roman" w:hAnsi="Times New Roman"/>
          <w:sz w:val="24"/>
          <w:szCs w:val="24"/>
        </w:rPr>
        <w:t xml:space="preserve"> memiliki sikap yang berbeda terhadap risiko. Inti dari hubungan keagenan adalah bahwa di dalam hubungan keagenan tersebut terdapat adan</w:t>
      </w:r>
      <w:r w:rsidR="002175C7">
        <w:rPr>
          <w:rFonts w:ascii="Times New Roman" w:hAnsi="Times New Roman"/>
          <w:sz w:val="24"/>
          <w:szCs w:val="24"/>
        </w:rPr>
        <w:t xml:space="preserve">ya pemisahan antara kepemilikan </w:t>
      </w:r>
      <w:r w:rsidR="002175C7" w:rsidRPr="002175C7">
        <w:rPr>
          <w:rFonts w:ascii="Times New Roman" w:hAnsi="Times New Roman"/>
          <w:sz w:val="24"/>
          <w:szCs w:val="24"/>
        </w:rPr>
        <w:t>yaitu para peme</w:t>
      </w:r>
      <w:r w:rsidR="002175C7">
        <w:rPr>
          <w:rFonts w:ascii="Times New Roman" w:hAnsi="Times New Roman"/>
          <w:sz w:val="24"/>
          <w:szCs w:val="24"/>
        </w:rPr>
        <w:t xml:space="preserve">gang saham dengan pengendalian </w:t>
      </w:r>
      <w:r w:rsidR="002175C7" w:rsidRPr="002175C7">
        <w:rPr>
          <w:rFonts w:ascii="Times New Roman" w:hAnsi="Times New Roman"/>
          <w:sz w:val="24"/>
          <w:szCs w:val="24"/>
        </w:rPr>
        <w:t>yaitu manajer yang mengelola perusahaan.</w:t>
      </w:r>
    </w:p>
    <w:p w:rsidR="002175C7" w:rsidRDefault="002175C7" w:rsidP="00C714BC">
      <w:pPr>
        <w:pStyle w:val="ListParagraph"/>
        <w:tabs>
          <w:tab w:val="left" w:pos="360"/>
        </w:tabs>
        <w:spacing w:after="0" w:line="480" w:lineRule="auto"/>
        <w:ind w:left="0" w:firstLine="567"/>
        <w:jc w:val="both"/>
        <w:rPr>
          <w:rFonts w:ascii="Times New Roman" w:hAnsi="Times New Roman"/>
          <w:sz w:val="24"/>
          <w:szCs w:val="24"/>
        </w:rPr>
      </w:pPr>
      <w:r>
        <w:rPr>
          <w:rFonts w:ascii="Times New Roman" w:hAnsi="Times New Roman"/>
          <w:sz w:val="24"/>
          <w:szCs w:val="24"/>
        </w:rPr>
        <w:t xml:space="preserve">Laporan keuangan </w:t>
      </w:r>
      <w:r w:rsidRPr="002175C7">
        <w:rPr>
          <w:rFonts w:ascii="Times New Roman" w:hAnsi="Times New Roman"/>
          <w:sz w:val="24"/>
          <w:szCs w:val="24"/>
        </w:rPr>
        <w:t>adalah laporan pertanggungjawaban yang dibuat oleh manajemen atau pimpinan perusahaan atas pengelolaan perusahaan yang dipercayakan kepadanya dari pemilik (deviden), pemerintah (kantor pajak), kreditur (bank dan lembaga keuangan lainnya) dan pihak-pihak yang berkepentingan serta masyarakat umum. Laporan keuangan yang meliputi laporan posisi keuangan, laporan laba rugi komprehensif, laporan perubahan ekuitas, laporan arus kas, catatan dan laporan lain serta materi penjelas yang merupakan bagian integral dari laporan keuangan.</w:t>
      </w:r>
      <w:r w:rsidR="00202653">
        <w:rPr>
          <w:rFonts w:ascii="Times New Roman" w:hAnsi="Times New Roman"/>
          <w:sz w:val="24"/>
          <w:szCs w:val="24"/>
        </w:rPr>
        <w:t xml:space="preserve"> T</w:t>
      </w:r>
      <w:r w:rsidRPr="002175C7">
        <w:rPr>
          <w:rFonts w:ascii="Times New Roman" w:hAnsi="Times New Roman"/>
          <w:sz w:val="24"/>
          <w:szCs w:val="24"/>
        </w:rPr>
        <w:t>ujuan utama</w:t>
      </w:r>
      <w:r w:rsidR="00DA6904">
        <w:rPr>
          <w:rFonts w:ascii="Times New Roman" w:hAnsi="Times New Roman"/>
          <w:sz w:val="24"/>
          <w:szCs w:val="24"/>
        </w:rPr>
        <w:t xml:space="preserve"> dari laporan keuangan adalah </w:t>
      </w:r>
      <w:r w:rsidRPr="002175C7">
        <w:rPr>
          <w:rFonts w:ascii="Times New Roman" w:hAnsi="Times New Roman"/>
          <w:sz w:val="24"/>
          <w:szCs w:val="24"/>
        </w:rPr>
        <w:t>me</w:t>
      </w:r>
      <w:r w:rsidR="00202653">
        <w:rPr>
          <w:rFonts w:ascii="Times New Roman" w:hAnsi="Times New Roman"/>
          <w:sz w:val="24"/>
          <w:szCs w:val="24"/>
        </w:rPr>
        <w:t xml:space="preserve">mberikan informasi yang berguna dalam </w:t>
      </w:r>
      <w:r w:rsidRPr="002175C7">
        <w:rPr>
          <w:rFonts w:ascii="Times New Roman" w:hAnsi="Times New Roman"/>
          <w:sz w:val="24"/>
          <w:szCs w:val="24"/>
        </w:rPr>
        <w:t>pengambilan keputusan ekonomis. Para pemakai laporan keuangan akan menggunakannya untuk meramalkan, membandingkan dan menilai dampak keuangan yang timbul dari keputusan ekonomis yang diambilnya.</w:t>
      </w:r>
    </w:p>
    <w:p w:rsidR="002175C7" w:rsidRDefault="002175C7" w:rsidP="00C714BC">
      <w:pPr>
        <w:pStyle w:val="ListParagraph"/>
        <w:tabs>
          <w:tab w:val="left" w:pos="360"/>
        </w:tabs>
        <w:spacing w:after="0" w:line="480" w:lineRule="auto"/>
        <w:ind w:left="0" w:firstLine="567"/>
        <w:jc w:val="both"/>
        <w:rPr>
          <w:rFonts w:ascii="Times New Roman" w:hAnsi="Times New Roman"/>
          <w:sz w:val="24"/>
          <w:szCs w:val="24"/>
        </w:rPr>
      </w:pPr>
      <w:r>
        <w:rPr>
          <w:rFonts w:ascii="Times New Roman" w:hAnsi="Times New Roman"/>
          <w:sz w:val="24"/>
          <w:szCs w:val="24"/>
        </w:rPr>
        <w:t xml:space="preserve">Audit secara umum </w:t>
      </w:r>
      <w:r w:rsidRPr="002175C7">
        <w:rPr>
          <w:rFonts w:ascii="Times New Roman" w:hAnsi="Times New Roman"/>
          <w:sz w:val="24"/>
          <w:szCs w:val="24"/>
        </w:rPr>
        <w:t xml:space="preserve">adalah suatu proses sistematik untuk memperoleh dan mengevaluasi secara objektif mengenai pernyataan-pernyataan tentang kegiatan dan kejadian ekonomi. Tujuannya adalah untuk menetapkan tingkat kesesuaian antara </w:t>
      </w:r>
      <w:r w:rsidRPr="002175C7">
        <w:rPr>
          <w:rFonts w:ascii="Times New Roman" w:hAnsi="Times New Roman"/>
          <w:sz w:val="24"/>
          <w:szCs w:val="24"/>
        </w:rPr>
        <w:lastRenderedPageBreak/>
        <w:t>pernyataan-pernyataan tersebut dengan kriteria yang telah ditetapkan, serta penyampaian hasil-hasilnya kepada pemakai yang berkepentingan.</w:t>
      </w:r>
    </w:p>
    <w:p w:rsidR="002175C7" w:rsidRDefault="00077209" w:rsidP="00C714BC">
      <w:pPr>
        <w:pStyle w:val="ListParagraph"/>
        <w:tabs>
          <w:tab w:val="left" w:pos="360"/>
        </w:tabs>
        <w:spacing w:after="0" w:line="480" w:lineRule="auto"/>
        <w:ind w:left="0" w:firstLine="567"/>
        <w:jc w:val="both"/>
        <w:rPr>
          <w:rFonts w:ascii="Times New Roman" w:hAnsi="Times New Roman"/>
          <w:sz w:val="24"/>
          <w:szCs w:val="24"/>
        </w:rPr>
      </w:pPr>
      <w:r>
        <w:rPr>
          <w:rFonts w:ascii="Times New Roman" w:hAnsi="Times New Roman"/>
          <w:sz w:val="24"/>
          <w:szCs w:val="24"/>
        </w:rPr>
        <w:t xml:space="preserve">Audit delay adalah </w:t>
      </w:r>
      <w:r w:rsidRPr="00077209">
        <w:rPr>
          <w:rFonts w:ascii="Times New Roman" w:hAnsi="Times New Roman"/>
          <w:sz w:val="24"/>
          <w:szCs w:val="24"/>
        </w:rPr>
        <w:t>rentang waktu penyelesaian pelaksanaan audit laporan keuangan tahunan berdasarkan lamanya hari yang dibutuhkan untuk memperoleh laporan auditor independen atas audit laporan keuangan tahunan perusahaan, terhitung sejak tanggal tutup tahun buku perusahaan, yaitu per 31 Desember sampai tanggal tertera pada laporan auditor independen.Kinerja auditor dalam melakukan proses audit memiliki peran besar dalam ketepatan waktu penyajian laporan keuangan kepada publik. Penyelesaian proses audit sesuai batas waktu yang telah ditentukan dapat dijadikan dasar penentuan kualitas audit seorang auditor. Dikarenakan auditor yang berkualitas akan segera menyelesaikan proses auditnya karena hal tersebut dapat mencerminkan kecakapan auditor dalam melak</w:t>
      </w:r>
      <w:r w:rsidR="00A64B74">
        <w:rPr>
          <w:rFonts w:ascii="Times New Roman" w:hAnsi="Times New Roman"/>
          <w:sz w:val="24"/>
          <w:szCs w:val="24"/>
        </w:rPr>
        <w:t>ukan proses audit</w:t>
      </w:r>
      <w:r w:rsidRPr="00077209">
        <w:rPr>
          <w:rFonts w:ascii="Times New Roman" w:hAnsi="Times New Roman"/>
          <w:sz w:val="24"/>
          <w:szCs w:val="24"/>
        </w:rPr>
        <w:t>.</w:t>
      </w:r>
    </w:p>
    <w:p w:rsidR="00077209" w:rsidRDefault="00077209" w:rsidP="00C714BC">
      <w:pPr>
        <w:pStyle w:val="ListParagraph"/>
        <w:tabs>
          <w:tab w:val="left" w:pos="360"/>
        </w:tabs>
        <w:spacing w:after="0" w:line="480" w:lineRule="auto"/>
        <w:ind w:left="0" w:firstLine="567"/>
        <w:jc w:val="both"/>
        <w:rPr>
          <w:rFonts w:ascii="Times New Roman" w:hAnsi="Times New Roman"/>
          <w:sz w:val="24"/>
          <w:szCs w:val="24"/>
        </w:rPr>
      </w:pPr>
      <w:r>
        <w:rPr>
          <w:rFonts w:ascii="Times New Roman" w:hAnsi="Times New Roman"/>
          <w:sz w:val="24"/>
          <w:szCs w:val="24"/>
        </w:rPr>
        <w:t xml:space="preserve">Profitabilitas </w:t>
      </w:r>
      <w:r w:rsidR="00193E6B">
        <w:rPr>
          <w:rFonts w:ascii="Times New Roman" w:hAnsi="Times New Roman"/>
          <w:sz w:val="24"/>
          <w:szCs w:val="24"/>
        </w:rPr>
        <w:t xml:space="preserve">merupakan salah satu ukuran </w:t>
      </w:r>
      <w:r w:rsidRPr="00077209">
        <w:rPr>
          <w:rFonts w:ascii="Times New Roman" w:hAnsi="Times New Roman"/>
          <w:sz w:val="24"/>
          <w:szCs w:val="24"/>
        </w:rPr>
        <w:t>keberhasilan perusahaan untuk dapat menghasilkan laba sehingga semakin tinggi profitabilitas maka semakin tinggi kemampuan perusahaan untuk menghasilkan laba bagi perusahaannya (Hilmi dan Ali, 2008).Profitabilitas merupakan salah satu pengukuran bagi kinerja suatu perusahaan, profitabilitas suatu perusahaan menunjukan kemampuan suatu perusahaan dalam menghasilkan laba selama periode tertentu pada tingkat penjualan, aktiva dan modal saham tertentu.</w:t>
      </w:r>
    </w:p>
    <w:p w:rsidR="00077209" w:rsidRDefault="00C03ABE" w:rsidP="00C714BC">
      <w:pPr>
        <w:pStyle w:val="ListParagraph"/>
        <w:tabs>
          <w:tab w:val="left" w:pos="360"/>
        </w:tabs>
        <w:spacing w:after="0" w:line="480" w:lineRule="auto"/>
        <w:ind w:left="0" w:firstLine="567"/>
        <w:jc w:val="both"/>
        <w:rPr>
          <w:rFonts w:ascii="Times New Roman" w:hAnsi="Times New Roman"/>
          <w:sz w:val="24"/>
          <w:szCs w:val="24"/>
        </w:rPr>
      </w:pPr>
      <w:r>
        <w:rPr>
          <w:rFonts w:ascii="Times New Roman" w:hAnsi="Times New Roman"/>
          <w:sz w:val="24"/>
          <w:szCs w:val="24"/>
        </w:rPr>
        <w:t xml:space="preserve">Solvabilitas </w:t>
      </w:r>
      <w:r w:rsidRPr="00C03ABE">
        <w:rPr>
          <w:rFonts w:ascii="Times New Roman" w:hAnsi="Times New Roman"/>
          <w:sz w:val="24"/>
          <w:szCs w:val="24"/>
        </w:rPr>
        <w:t xml:space="preserve">merupakan kemampuan perusahaan untuk membayar kewajiban jangka pendek maupun jangka panjangnya (Munawir,2002). Solvabilitas adalah kemampuan suatu perusahaan untuk membayar seluruh kewajiban-kewajibannya baik </w:t>
      </w:r>
      <w:r w:rsidRPr="00C03ABE">
        <w:rPr>
          <w:rFonts w:ascii="Times New Roman" w:hAnsi="Times New Roman"/>
          <w:sz w:val="24"/>
          <w:szCs w:val="24"/>
        </w:rPr>
        <w:lastRenderedPageBreak/>
        <w:t>berupa hutang jangka pendek maupun hutang jangka panjang.Kemampuan suatu perusahaan dapat diketahui melalui laporan posisi keuangan suatu perusahaan yang menunjukkan posisi asset lancar, asset tetap dan kewajiban jangka pendek dan kewajiban jangka panjang yang dapat dianalisa untuk mengetahui perusahaan tersebut solvabel atau insolvabel.</w:t>
      </w:r>
    </w:p>
    <w:p w:rsidR="00C03ABE" w:rsidRDefault="00C03ABE" w:rsidP="00C714BC">
      <w:pPr>
        <w:pStyle w:val="ListParagraph"/>
        <w:tabs>
          <w:tab w:val="left" w:pos="360"/>
        </w:tabs>
        <w:spacing w:after="0" w:line="480" w:lineRule="auto"/>
        <w:ind w:left="0" w:firstLine="567"/>
        <w:jc w:val="both"/>
        <w:rPr>
          <w:rFonts w:ascii="Times New Roman" w:hAnsi="Times New Roman"/>
          <w:sz w:val="24"/>
          <w:szCs w:val="24"/>
        </w:rPr>
      </w:pPr>
      <w:r w:rsidRPr="00C03ABE">
        <w:rPr>
          <w:rFonts w:ascii="Times New Roman" w:hAnsi="Times New Roman"/>
          <w:sz w:val="24"/>
          <w:szCs w:val="24"/>
        </w:rPr>
        <w:t>KAP menurut PMK No. 17/PMK.01/2008 merupakan badan usaha yang telah mendapat izin dari menteri sebagai wadah akuntan publik dalam memberikan jasanya. KAP bertindak memberikan jasa audit bagi kliennya yaitu perusahaan untuk melakukan pemeriksaan laporan keuangan, demi menjamin kualitas laporan keuangan.Perusahaan klien dalam melakukan audit laporan keuangannya akan memilih KAP yang memiliki reputasi baik, yang dapat diandalkan dalam segi service, kualitas dan kecepatan dalam mengaudit laporan keuangan, sehingga hal ini sesuai dengan pernyataan (beatty,1989) dalam Oktorina (2006) bahwa kualitas auditor merupakan salah satu pengurang terhadap ketidakpastian. KAP yang bereputasi baik, diperkirakan dapat melakukan audit lebih efisien dan memiliki fleksibilitas yang lebih besar untuk menyelesaikan audit sesuai jadwal sehingga informasi dapat lebih cepat diterima pengguna laporan keuangan di dalam pengambilan keputusan ekonomi.</w:t>
      </w:r>
    </w:p>
    <w:p w:rsidR="00774ADE" w:rsidRPr="006E33F1" w:rsidRDefault="00774ADE" w:rsidP="00774ADE">
      <w:pPr>
        <w:spacing w:line="480" w:lineRule="auto"/>
        <w:ind w:firstLine="567"/>
        <w:jc w:val="both"/>
        <w:rPr>
          <w:rFonts w:ascii="Times New Roman" w:hAnsi="Times New Roman"/>
        </w:rPr>
      </w:pPr>
      <w:r>
        <w:rPr>
          <w:rFonts w:ascii="Times New Roman" w:hAnsi="Times New Roman"/>
        </w:rPr>
        <w:t xml:space="preserve">Dye </w:t>
      </w:r>
      <w:r w:rsidRPr="006E33F1">
        <w:rPr>
          <w:rFonts w:ascii="Times New Roman" w:hAnsi="Times New Roman"/>
        </w:rPr>
        <w:t>dan Sridhar dalam penelitian Wirakusuma (2004) mengungkapkan bahwaperusahaan dengan hasil gemilang cenderung be</w:t>
      </w:r>
      <w:r>
        <w:rPr>
          <w:rFonts w:ascii="Times New Roman" w:hAnsi="Times New Roman"/>
        </w:rPr>
        <w:t xml:space="preserve">rusaha untuk menyajikan laporan </w:t>
      </w:r>
      <w:r w:rsidRPr="006E33F1">
        <w:rPr>
          <w:rFonts w:ascii="Times New Roman" w:hAnsi="Times New Roman"/>
        </w:rPr>
        <w:t>keuangannya lebih tepat waktu. Semakin tingg</w:t>
      </w:r>
      <w:r>
        <w:rPr>
          <w:rFonts w:ascii="Times New Roman" w:hAnsi="Times New Roman"/>
        </w:rPr>
        <w:t xml:space="preserve">i atau rendahnya profitabilitas </w:t>
      </w:r>
      <w:r w:rsidRPr="006E33F1">
        <w:rPr>
          <w:rFonts w:ascii="Times New Roman" w:hAnsi="Times New Roman"/>
        </w:rPr>
        <w:t>suatuperusahaan akan berpengaruh terhadap ketidaktepatwaktuan publikasi laporankeuangan.</w:t>
      </w:r>
      <w:r>
        <w:rPr>
          <w:rFonts w:ascii="Times New Roman" w:hAnsi="Times New Roman"/>
        </w:rPr>
        <w:t xml:space="preserve"> P</w:t>
      </w:r>
      <w:r w:rsidRPr="00131C42">
        <w:rPr>
          <w:rFonts w:ascii="Times New Roman" w:hAnsi="Times New Roman"/>
        </w:rPr>
        <w:t xml:space="preserve">enelitian yang telah dilakukan oleh Yugo Trianto (2006) pada </w:t>
      </w:r>
      <w:r w:rsidRPr="00131C42">
        <w:rPr>
          <w:rFonts w:ascii="Times New Roman" w:hAnsi="Times New Roman"/>
        </w:rPr>
        <w:lastRenderedPageBreak/>
        <w:t xml:space="preserve">perusahaan </w:t>
      </w:r>
      <w:r w:rsidRPr="005C4C65">
        <w:rPr>
          <w:rFonts w:ascii="Times New Roman" w:hAnsi="Times New Roman"/>
          <w:i/>
        </w:rPr>
        <w:t>go publik</w:t>
      </w:r>
      <w:r w:rsidRPr="00131C42">
        <w:rPr>
          <w:rFonts w:ascii="Times New Roman" w:hAnsi="Times New Roman"/>
        </w:rPr>
        <w:t xml:space="preserve"> yang terdaftar di Bursa Efek Indonesia pada tahun 2004 hasil penelit</w:t>
      </w:r>
      <w:r>
        <w:rPr>
          <w:rFonts w:ascii="Times New Roman" w:hAnsi="Times New Roman"/>
        </w:rPr>
        <w:t>iannya telah membuktikan bahwa p</w:t>
      </w:r>
      <w:r w:rsidRPr="00131C42">
        <w:rPr>
          <w:rFonts w:ascii="Times New Roman" w:hAnsi="Times New Roman"/>
        </w:rPr>
        <w:t>rofitabilitas mempunyai pengaruh yang s</w:t>
      </w:r>
      <w:r>
        <w:rPr>
          <w:rFonts w:ascii="Times New Roman" w:hAnsi="Times New Roman"/>
        </w:rPr>
        <w:t xml:space="preserve">ignifikan terhadap audit delay. </w:t>
      </w:r>
      <w:r w:rsidRPr="006E33F1">
        <w:rPr>
          <w:rFonts w:ascii="Times New Roman" w:hAnsi="Times New Roman"/>
        </w:rPr>
        <w:t>Dengan demikian, hipotesis yang didapatkan adalah :</w:t>
      </w:r>
    </w:p>
    <w:p w:rsidR="00774ADE" w:rsidRDefault="00774ADE" w:rsidP="00774ADE">
      <w:pPr>
        <w:spacing w:line="480" w:lineRule="auto"/>
        <w:jc w:val="both"/>
        <w:rPr>
          <w:rFonts w:ascii="Times New Roman" w:hAnsi="Times New Roman"/>
        </w:rPr>
      </w:pPr>
      <w:r w:rsidRPr="00774ADE">
        <w:rPr>
          <w:rFonts w:ascii="Times New Roman" w:hAnsi="Times New Roman"/>
        </w:rPr>
        <w:t>H1: Profitabilitas berpengaruh terhadap audit delay.</w:t>
      </w:r>
    </w:p>
    <w:p w:rsidR="00774ADE" w:rsidRPr="00197719" w:rsidRDefault="00774ADE" w:rsidP="00774ADE">
      <w:pPr>
        <w:spacing w:line="480" w:lineRule="auto"/>
        <w:ind w:firstLine="567"/>
        <w:jc w:val="both"/>
        <w:rPr>
          <w:rFonts w:ascii="Times New Roman" w:hAnsi="Times New Roman"/>
        </w:rPr>
      </w:pPr>
      <w:r w:rsidRPr="004B5365">
        <w:rPr>
          <w:rFonts w:ascii="Times New Roman" w:hAnsi="Times New Roman"/>
        </w:rPr>
        <w:t xml:space="preserve">Carlaw dan </w:t>
      </w:r>
      <w:r>
        <w:rPr>
          <w:rFonts w:ascii="Times New Roman" w:hAnsi="Times New Roman"/>
        </w:rPr>
        <w:t>Kaplan (1991) dalam Yu</w:t>
      </w:r>
      <w:r w:rsidRPr="00131C42">
        <w:rPr>
          <w:rFonts w:ascii="Times New Roman" w:hAnsi="Times New Roman"/>
        </w:rPr>
        <w:t xml:space="preserve">go Trianto (2006) menemukan hubungan yang signifikan antara </w:t>
      </w:r>
      <w:r w:rsidRPr="00623199">
        <w:rPr>
          <w:rFonts w:ascii="Times New Roman" w:hAnsi="Times New Roman"/>
          <w:i/>
        </w:rPr>
        <w:t xml:space="preserve">rasio Total Debt to Total Asset </w:t>
      </w:r>
      <w:r>
        <w:rPr>
          <w:rFonts w:ascii="Times New Roman" w:hAnsi="Times New Roman"/>
        </w:rPr>
        <w:t>dengan audit d</w:t>
      </w:r>
      <w:r w:rsidRPr="00131C42">
        <w:rPr>
          <w:rFonts w:ascii="Times New Roman" w:hAnsi="Times New Roman"/>
        </w:rPr>
        <w:t xml:space="preserve">elay. Alasan yang dapat mendukung hubungan antara </w:t>
      </w:r>
      <w:r w:rsidRPr="00623199">
        <w:rPr>
          <w:rFonts w:ascii="Times New Roman" w:hAnsi="Times New Roman"/>
          <w:i/>
        </w:rPr>
        <w:t>total debt to assets ratio</w:t>
      </w:r>
      <w:r w:rsidRPr="00131C42">
        <w:rPr>
          <w:rFonts w:ascii="Times New Roman" w:hAnsi="Times New Roman"/>
        </w:rPr>
        <w:t xml:space="preserve"> adalah pertama, bahwa </w:t>
      </w:r>
      <w:r w:rsidRPr="00623199">
        <w:rPr>
          <w:rFonts w:ascii="Times New Roman" w:hAnsi="Times New Roman"/>
          <w:i/>
        </w:rPr>
        <w:t>total debt to total assets ratio</w:t>
      </w:r>
      <w:r w:rsidRPr="00131C42">
        <w:rPr>
          <w:rFonts w:ascii="Times New Roman" w:hAnsi="Times New Roman"/>
        </w:rPr>
        <w:t xml:space="preserve"> mengindikasikan kesehatan dari perusahaan. Proporsi </w:t>
      </w:r>
      <w:r w:rsidRPr="00623199">
        <w:rPr>
          <w:rFonts w:ascii="Times New Roman" w:hAnsi="Times New Roman"/>
          <w:i/>
        </w:rPr>
        <w:t>total debt to total assets ratio</w:t>
      </w:r>
      <w:r w:rsidRPr="00131C42">
        <w:rPr>
          <w:rFonts w:ascii="Times New Roman" w:hAnsi="Times New Roman"/>
        </w:rPr>
        <w:t xml:space="preserve"> yang tinggi akan meningkatkan kegagalan perusahaansehingga auditor akan meningkatkan perhatian bahwa ada kemungkinan laporan keuangan kurang dapat dipercaya.Kedua, mengaudit utang memerlukan waktu yang lebih lama dibandingkan dengan mengaudit modal. Biasanya mengaudit utang lebih melibatkan banyak staf dan lebih rumit dibandingkan mengaudit modal. Dalam hal ini perusahaan akan mengurangi resiko dengan mengundurkan publikasi laporan keuangannya dan mengulur waktu dalam laporan auditnya.</w:t>
      </w:r>
      <w:r w:rsidRPr="00197719">
        <w:rPr>
          <w:rFonts w:ascii="Times New Roman" w:hAnsi="Times New Roman"/>
        </w:rPr>
        <w:t>Dengan demikian, hipotesis yang didapatkan adalah:</w:t>
      </w:r>
    </w:p>
    <w:p w:rsidR="00774ADE" w:rsidRPr="00774ADE" w:rsidRDefault="00774ADE" w:rsidP="00774ADE">
      <w:pPr>
        <w:spacing w:line="480" w:lineRule="auto"/>
        <w:jc w:val="both"/>
        <w:rPr>
          <w:rFonts w:ascii="Times New Roman" w:hAnsi="Times New Roman"/>
        </w:rPr>
      </w:pPr>
      <w:r w:rsidRPr="00774ADE">
        <w:rPr>
          <w:rFonts w:ascii="Times New Roman" w:hAnsi="Times New Roman"/>
        </w:rPr>
        <w:t>H2: Solvabilitas berpengaruh terhadap audit delay.</w:t>
      </w:r>
    </w:p>
    <w:p w:rsidR="00774ADE" w:rsidRPr="00A06412" w:rsidRDefault="00774ADE" w:rsidP="00774ADE">
      <w:pPr>
        <w:spacing w:line="480" w:lineRule="auto"/>
        <w:ind w:firstLine="567"/>
        <w:jc w:val="both"/>
        <w:rPr>
          <w:rFonts w:ascii="Times New Roman" w:hAnsi="Times New Roman"/>
        </w:rPr>
      </w:pPr>
      <w:r w:rsidRPr="00730B48">
        <w:rPr>
          <w:rFonts w:ascii="Times New Roman" w:hAnsi="Times New Roman"/>
        </w:rPr>
        <w:t>DeAngelo (1981) dalam Oktorina dan Suharli (2005) menyatakan bahwa</w:t>
      </w:r>
      <w:r>
        <w:rPr>
          <w:rFonts w:ascii="Times New Roman" w:hAnsi="Times New Roman"/>
        </w:rPr>
        <w:t xml:space="preserve"> KAP </w:t>
      </w:r>
      <w:r w:rsidRPr="00730B48">
        <w:rPr>
          <w:rFonts w:ascii="Times New Roman" w:hAnsi="Times New Roman"/>
        </w:rPr>
        <w:t>besar memiliki kualitas audit yang l</w:t>
      </w:r>
      <w:r>
        <w:rPr>
          <w:rFonts w:ascii="Times New Roman" w:hAnsi="Times New Roman"/>
        </w:rPr>
        <w:t xml:space="preserve">ebih baik. Perusahaan-perusahaan </w:t>
      </w:r>
      <w:r w:rsidRPr="00730B48">
        <w:rPr>
          <w:rFonts w:ascii="Times New Roman" w:hAnsi="Times New Roman"/>
        </w:rPr>
        <w:t>yang menggunakan</w:t>
      </w:r>
      <w:r>
        <w:rPr>
          <w:rFonts w:ascii="Times New Roman" w:hAnsi="Times New Roman"/>
        </w:rPr>
        <w:t xml:space="preserve"> jasa KAP seperti </w:t>
      </w:r>
      <w:r>
        <w:rPr>
          <w:rFonts w:ascii="Times New Roman" w:hAnsi="Times New Roman"/>
          <w:i/>
        </w:rPr>
        <w:t>The Big F</w:t>
      </w:r>
      <w:r w:rsidRPr="0030478D">
        <w:rPr>
          <w:rFonts w:ascii="Times New Roman" w:hAnsi="Times New Roman"/>
          <w:i/>
        </w:rPr>
        <w:t>our</w:t>
      </w:r>
      <w:r w:rsidRPr="00730B48">
        <w:rPr>
          <w:rFonts w:ascii="Times New Roman" w:hAnsi="Times New Roman"/>
        </w:rPr>
        <w:t>cenderung lebih dipilih oleh investor karena investor m</w:t>
      </w:r>
      <w:r>
        <w:rPr>
          <w:rFonts w:ascii="Times New Roman" w:hAnsi="Times New Roman"/>
        </w:rPr>
        <w:t xml:space="preserve">enganggap perusahaan </w:t>
      </w:r>
      <w:r w:rsidRPr="00730B48">
        <w:rPr>
          <w:rFonts w:ascii="Times New Roman" w:hAnsi="Times New Roman"/>
        </w:rPr>
        <w:t>dengan KAP besar akan dapat menghasilkan ku</w:t>
      </w:r>
      <w:r>
        <w:rPr>
          <w:rFonts w:ascii="Times New Roman" w:hAnsi="Times New Roman"/>
        </w:rPr>
        <w:t xml:space="preserve">alitas audit yang baik daripada </w:t>
      </w:r>
      <w:r w:rsidRPr="00730B48">
        <w:rPr>
          <w:rFonts w:ascii="Times New Roman" w:hAnsi="Times New Roman"/>
        </w:rPr>
        <w:t>K</w:t>
      </w:r>
      <w:r>
        <w:rPr>
          <w:rFonts w:ascii="Times New Roman" w:hAnsi="Times New Roman"/>
        </w:rPr>
        <w:t xml:space="preserve">AP kecil. Oleh karena banyaknya </w:t>
      </w:r>
      <w:r w:rsidRPr="00730B48">
        <w:rPr>
          <w:rFonts w:ascii="Times New Roman" w:hAnsi="Times New Roman"/>
        </w:rPr>
        <w:t>investor</w:t>
      </w:r>
      <w:r>
        <w:rPr>
          <w:rFonts w:ascii="Times New Roman" w:hAnsi="Times New Roman"/>
        </w:rPr>
        <w:t xml:space="preserve"> yang </w:t>
      </w:r>
      <w:r>
        <w:rPr>
          <w:rFonts w:ascii="Times New Roman" w:hAnsi="Times New Roman"/>
        </w:rPr>
        <w:lastRenderedPageBreak/>
        <w:t xml:space="preserve">memilih perusahaan dengan </w:t>
      </w:r>
      <w:r w:rsidRPr="00730B48">
        <w:rPr>
          <w:rFonts w:ascii="Times New Roman" w:hAnsi="Times New Roman"/>
        </w:rPr>
        <w:t>KAP besar, maka profitabilitas perusahaan pun tentunya akan meningkat</w:t>
      </w:r>
      <w:r>
        <w:rPr>
          <w:rFonts w:ascii="Times New Roman" w:hAnsi="Times New Roman"/>
        </w:rPr>
        <w:t>.</w:t>
      </w:r>
      <w:r w:rsidRPr="00A06412">
        <w:rPr>
          <w:rFonts w:ascii="Times New Roman" w:hAnsi="Times New Roman"/>
        </w:rPr>
        <w:t xml:space="preserve"> Dengan demikian, hipotesis yang didapatkan adalah:</w:t>
      </w:r>
    </w:p>
    <w:p w:rsidR="00774ADE" w:rsidRPr="00774ADE" w:rsidRDefault="00774ADE" w:rsidP="00F74F9A">
      <w:pPr>
        <w:spacing w:line="480" w:lineRule="auto"/>
        <w:ind w:left="567" w:hanging="539"/>
        <w:jc w:val="both"/>
        <w:rPr>
          <w:rFonts w:ascii="Times New Roman" w:hAnsi="Times New Roman"/>
        </w:rPr>
      </w:pPr>
      <w:r w:rsidRPr="00774ADE">
        <w:rPr>
          <w:rFonts w:ascii="Times New Roman" w:hAnsi="Times New Roman"/>
        </w:rPr>
        <w:t>H3: Reputasi kantor akuntan publik memoderasi pengaruh profitabilitas terhadap audit delay.</w:t>
      </w:r>
    </w:p>
    <w:p w:rsidR="00774ADE" w:rsidRDefault="00774ADE" w:rsidP="00774ADE">
      <w:pPr>
        <w:spacing w:line="480" w:lineRule="auto"/>
        <w:ind w:firstLine="567"/>
        <w:jc w:val="both"/>
        <w:rPr>
          <w:rFonts w:ascii="Times New Roman" w:hAnsi="Times New Roman"/>
        </w:rPr>
      </w:pPr>
      <w:r w:rsidRPr="0096770D">
        <w:rPr>
          <w:rFonts w:ascii="Times New Roman" w:hAnsi="Times New Roman"/>
        </w:rPr>
        <w:t>Suatu perusahaan dengan leverage keuang</w:t>
      </w:r>
      <w:r>
        <w:rPr>
          <w:rFonts w:ascii="Times New Roman" w:hAnsi="Times New Roman"/>
        </w:rPr>
        <w:t xml:space="preserve">an yang tinggi berarti memiliki risiko </w:t>
      </w:r>
      <w:r w:rsidRPr="0096770D">
        <w:rPr>
          <w:rFonts w:ascii="Times New Roman" w:hAnsi="Times New Roman"/>
        </w:rPr>
        <w:t>keuangan yang tinggi karena mengalami</w:t>
      </w:r>
      <w:r>
        <w:rPr>
          <w:rFonts w:ascii="Times New Roman" w:hAnsi="Times New Roman"/>
        </w:rPr>
        <w:t xml:space="preserve"> kesulitan keuangan. M</w:t>
      </w:r>
      <w:r w:rsidRPr="00C308B2">
        <w:rPr>
          <w:rFonts w:ascii="Times New Roman" w:hAnsi="Times New Roman"/>
        </w:rPr>
        <w:t xml:space="preserve">aka </w:t>
      </w:r>
      <w:r>
        <w:rPr>
          <w:rFonts w:ascii="Times New Roman" w:hAnsi="Times New Roman"/>
        </w:rPr>
        <w:t xml:space="preserve">auditor </w:t>
      </w:r>
      <w:r w:rsidRPr="00C308B2">
        <w:rPr>
          <w:rFonts w:ascii="Times New Roman" w:hAnsi="Times New Roman"/>
        </w:rPr>
        <w:t>akan memerlukan waktu yang lebih panjang lagi da</w:t>
      </w:r>
      <w:r>
        <w:rPr>
          <w:rFonts w:ascii="Times New Roman" w:hAnsi="Times New Roman"/>
        </w:rPr>
        <w:t>lam melakukan penyelesaian audit karena</w:t>
      </w:r>
      <w:r w:rsidRPr="00413934">
        <w:rPr>
          <w:rFonts w:ascii="Times New Roman" w:hAnsi="Times New Roman"/>
        </w:rPr>
        <w:t>memerlukan lebi</w:t>
      </w:r>
      <w:r>
        <w:rPr>
          <w:rFonts w:ascii="Times New Roman" w:hAnsi="Times New Roman"/>
        </w:rPr>
        <w:t xml:space="preserve">h banyak pembuktian </w:t>
      </w:r>
      <w:r w:rsidRPr="00413934">
        <w:rPr>
          <w:rFonts w:ascii="Times New Roman" w:hAnsi="Times New Roman"/>
        </w:rPr>
        <w:t>untuk menyakinkan akan kebenaran dari tingkat hutangnya</w:t>
      </w:r>
      <w:r>
        <w:rPr>
          <w:rFonts w:ascii="Times New Roman" w:hAnsi="Times New Roman"/>
        </w:rPr>
        <w:t xml:space="preserve">, sehingga </w:t>
      </w:r>
      <w:r w:rsidRPr="0096770D">
        <w:rPr>
          <w:rFonts w:ascii="Times New Roman" w:hAnsi="Times New Roman"/>
        </w:rPr>
        <w:t>terjadi ketidaktepat</w:t>
      </w:r>
      <w:r>
        <w:rPr>
          <w:rFonts w:ascii="Times New Roman" w:hAnsi="Times New Roman"/>
        </w:rPr>
        <w:t xml:space="preserve">waktuan dalam publikasi laporan keuangan (Carslaw dan Kaplan </w:t>
      </w:r>
      <w:r w:rsidRPr="0096770D">
        <w:rPr>
          <w:rFonts w:ascii="Times New Roman" w:hAnsi="Times New Roman"/>
        </w:rPr>
        <w:t>1991).</w:t>
      </w:r>
      <w:r w:rsidRPr="00270845">
        <w:rPr>
          <w:rFonts w:ascii="Times New Roman" w:hAnsi="Times New Roman"/>
        </w:rPr>
        <w:t>De</w:t>
      </w:r>
      <w:r>
        <w:rPr>
          <w:rFonts w:ascii="Times New Roman" w:hAnsi="Times New Roman"/>
        </w:rPr>
        <w:t xml:space="preserve">ngan demikian pemilihan KAP yang bermitra </w:t>
      </w:r>
      <w:r w:rsidRPr="00270845">
        <w:rPr>
          <w:rFonts w:ascii="Times New Roman" w:hAnsi="Times New Roman"/>
        </w:rPr>
        <w:t xml:space="preserve">dengan </w:t>
      </w:r>
      <w:r w:rsidRPr="00D54FAE">
        <w:rPr>
          <w:rFonts w:ascii="Times New Roman" w:hAnsi="Times New Roman"/>
          <w:i/>
        </w:rPr>
        <w:t>The Big Four</w:t>
      </w:r>
      <w:r>
        <w:rPr>
          <w:rFonts w:ascii="Times New Roman" w:hAnsi="Times New Roman"/>
        </w:rPr>
        <w:t xml:space="preserve">dilakukan agar </w:t>
      </w:r>
      <w:r w:rsidRPr="00270845">
        <w:rPr>
          <w:rFonts w:ascii="Times New Roman" w:hAnsi="Times New Roman"/>
        </w:rPr>
        <w:t>dapat men</w:t>
      </w:r>
      <w:r>
        <w:rPr>
          <w:rFonts w:ascii="Times New Roman" w:hAnsi="Times New Roman"/>
        </w:rPr>
        <w:t>gaudit secara lebih efisien dan efektif, serta memiliki fleksibi</w:t>
      </w:r>
      <w:r w:rsidRPr="00270845">
        <w:rPr>
          <w:rFonts w:ascii="Times New Roman" w:hAnsi="Times New Roman"/>
        </w:rPr>
        <w:t xml:space="preserve">litas yang lebih tinggi agar </w:t>
      </w:r>
      <w:r>
        <w:rPr>
          <w:rFonts w:ascii="Times New Roman" w:hAnsi="Times New Roman"/>
        </w:rPr>
        <w:t xml:space="preserve">dapat mengurangi </w:t>
      </w:r>
      <w:r w:rsidRPr="000B373B">
        <w:rPr>
          <w:rFonts w:ascii="Times New Roman" w:hAnsi="Times New Roman"/>
        </w:rPr>
        <w:t>ketidaktepatwaktuan dalam publikasi laporan keuangan</w:t>
      </w:r>
      <w:r w:rsidRPr="00270845">
        <w:rPr>
          <w:rFonts w:ascii="Times New Roman" w:hAnsi="Times New Roman"/>
        </w:rPr>
        <w:t>.</w:t>
      </w:r>
      <w:r w:rsidRPr="0096770D">
        <w:rPr>
          <w:rFonts w:ascii="Times New Roman" w:hAnsi="Times New Roman"/>
        </w:rPr>
        <w:t xml:space="preserve"> Dengan de</w:t>
      </w:r>
      <w:r>
        <w:rPr>
          <w:rFonts w:ascii="Times New Roman" w:hAnsi="Times New Roman"/>
        </w:rPr>
        <w:t xml:space="preserve">mikian, hipotesis yang diajukan </w:t>
      </w:r>
      <w:r w:rsidRPr="0096770D">
        <w:rPr>
          <w:rFonts w:ascii="Times New Roman" w:hAnsi="Times New Roman"/>
        </w:rPr>
        <w:t>adalah sebagai berikut:</w:t>
      </w:r>
    </w:p>
    <w:p w:rsidR="00C714BC" w:rsidRPr="00F74F9A" w:rsidRDefault="00774ADE" w:rsidP="00F74F9A">
      <w:pPr>
        <w:tabs>
          <w:tab w:val="left" w:pos="450"/>
          <w:tab w:val="left" w:pos="1980"/>
        </w:tabs>
        <w:spacing w:line="480" w:lineRule="auto"/>
        <w:ind w:left="567" w:hanging="539"/>
        <w:jc w:val="both"/>
        <w:rPr>
          <w:rFonts w:ascii="Times New Roman" w:hAnsi="Times New Roman"/>
        </w:rPr>
      </w:pPr>
      <w:r w:rsidRPr="00774ADE">
        <w:rPr>
          <w:rFonts w:ascii="Times New Roman" w:hAnsi="Times New Roman"/>
        </w:rPr>
        <w:t>H4: Reputasi kantor akuntan publik memoderasi pengaruh solvabilitas  terhadap audit delay.</w:t>
      </w:r>
    </w:p>
    <w:p w:rsidR="006F66A1" w:rsidRDefault="006F66A1" w:rsidP="00675287">
      <w:pPr>
        <w:spacing w:line="480" w:lineRule="auto"/>
        <w:jc w:val="both"/>
        <w:rPr>
          <w:rFonts w:ascii="Times New Roman" w:hAnsi="Times New Roman"/>
          <w:b/>
        </w:rPr>
      </w:pPr>
      <w:r w:rsidRPr="00BB4350">
        <w:rPr>
          <w:rFonts w:ascii="Times New Roman" w:hAnsi="Times New Roman"/>
          <w:b/>
        </w:rPr>
        <w:t xml:space="preserve">METODE PENELITIAN </w:t>
      </w:r>
    </w:p>
    <w:p w:rsidR="00555871" w:rsidRPr="00555871" w:rsidRDefault="00555871" w:rsidP="00F74F9A">
      <w:pPr>
        <w:spacing w:line="480" w:lineRule="auto"/>
        <w:jc w:val="both"/>
        <w:rPr>
          <w:rFonts w:ascii="Times New Roman" w:hAnsi="Times New Roman"/>
          <w:b/>
        </w:rPr>
      </w:pPr>
      <w:r w:rsidRPr="00555871">
        <w:rPr>
          <w:rFonts w:ascii="Times New Roman" w:hAnsi="Times New Roman"/>
        </w:rPr>
        <w:t xml:space="preserve">Penelitian yang dilakukan oleh peneliti menggunakan pendekatan kuantitatif. Pendekatan kuantitatif dapat diartikan sebagai metode penelitian yang berlandaskan pada filsafat positivm, digunakan untuk meneliti pada sampel atau populasi tertentu, teknik pengambilan sampel umumnya dilakukan secara random, pengumpulan data </w:t>
      </w:r>
      <w:r w:rsidRPr="00555871">
        <w:rPr>
          <w:rFonts w:ascii="Times New Roman" w:hAnsi="Times New Roman"/>
        </w:rPr>
        <w:lastRenderedPageBreak/>
        <w:t>menggunakan instrumen penelitian, analisis data bersifat kuantitatif/statistik dengan tujuan untuk menguji hipotesis yang telah ditetapkan (Sugiyono, 2013:13).</w:t>
      </w:r>
    </w:p>
    <w:p w:rsidR="00555871" w:rsidRPr="00555871" w:rsidRDefault="00555871" w:rsidP="00555871">
      <w:pPr>
        <w:spacing w:line="480" w:lineRule="auto"/>
        <w:ind w:firstLine="567"/>
        <w:jc w:val="both"/>
        <w:rPr>
          <w:rFonts w:ascii="Times New Roman" w:hAnsi="Times New Roman"/>
        </w:rPr>
      </w:pPr>
      <w:r w:rsidRPr="00555871">
        <w:rPr>
          <w:rFonts w:ascii="Times New Roman" w:hAnsi="Times New Roman"/>
        </w:rPr>
        <w:t xml:space="preserve">Penelitian ini dilakukan pada perusahaan yang terdaftar dalam sektor properti di Bursa Efek Indonesia (BEI) tahun 2011-2014 dengan mengakses situs resmi BEI yaitu </w:t>
      </w:r>
      <w:hyperlink r:id="rId9" w:history="1">
        <w:r w:rsidRPr="00555871">
          <w:rPr>
            <w:rStyle w:val="Hyperlink"/>
            <w:rFonts w:ascii="Times New Roman" w:hAnsi="Times New Roman"/>
            <w:color w:val="000000" w:themeColor="text1"/>
            <w:u w:val="none"/>
          </w:rPr>
          <w:t>www.idx.co.id</w:t>
        </w:r>
      </w:hyperlink>
      <w:r w:rsidRPr="00555871">
        <w:rPr>
          <w:rStyle w:val="Hyperlink"/>
          <w:rFonts w:ascii="Times New Roman" w:hAnsi="Times New Roman"/>
          <w:color w:val="000000" w:themeColor="text1"/>
          <w:u w:val="none"/>
        </w:rPr>
        <w:t>.</w:t>
      </w:r>
      <w:r w:rsidRPr="00555871">
        <w:rPr>
          <w:rFonts w:ascii="Times New Roman" w:hAnsi="Times New Roman"/>
        </w:rPr>
        <w:t>Obyek penelitian adalah suatu sifat dari obyek yang ditetapkan oleh peneliti untuk mempelajari dan kemudian memperoleh kesimpulan (Sugiyono, 2013:38). Dari pengertian tersebut dijelaskan bahwa objek penelitian merupakan sumber dan tempat dimana peneliti akan memperoleh data. Objek penelitian ini adalah audit delay pada perusahaan properti yang terdaftar di Bursa Efek Indonesia tahun 2011-2014. Audit delay ini yang dipengaruhi oleh profitabilitas dan solvabilitas, serta reputasi kantor akuntan publik yang berperan sebagai pemoderasi.</w:t>
      </w:r>
    </w:p>
    <w:p w:rsidR="00BF1C3A" w:rsidRDefault="00555871" w:rsidP="00BF1C3A">
      <w:pPr>
        <w:spacing w:line="480" w:lineRule="auto"/>
        <w:ind w:firstLine="567"/>
        <w:jc w:val="both"/>
        <w:rPr>
          <w:rFonts w:ascii="Times New Roman" w:hAnsi="Times New Roman"/>
        </w:rPr>
      </w:pPr>
      <w:r w:rsidRPr="003D45AD">
        <w:rPr>
          <w:rFonts w:ascii="Times New Roman" w:hAnsi="Times New Roman"/>
        </w:rPr>
        <w:t xml:space="preserve">Variabel Terikat </w:t>
      </w:r>
      <w:r w:rsidRPr="00D54FAE">
        <w:rPr>
          <w:rFonts w:ascii="Times New Roman" w:hAnsi="Times New Roman"/>
          <w:i/>
        </w:rPr>
        <w:t>(Dependent Variabel)</w:t>
      </w:r>
      <w:r w:rsidRPr="003D45AD">
        <w:rPr>
          <w:rFonts w:ascii="Times New Roman" w:hAnsi="Times New Roman"/>
        </w:rPr>
        <w:t xml:space="preserve"> atau (Y), yaitu</w:t>
      </w:r>
      <w:r>
        <w:rPr>
          <w:rFonts w:ascii="Times New Roman" w:hAnsi="Times New Roman"/>
        </w:rPr>
        <w:t xml:space="preserve"> variabel yang dipengaruhi oleh variabel </w:t>
      </w:r>
      <w:r w:rsidRPr="003D45AD">
        <w:rPr>
          <w:rFonts w:ascii="Times New Roman" w:hAnsi="Times New Roman"/>
        </w:rPr>
        <w:t>lainnya atau oleh variabel bebas. Variabel terikat dalam penelitian ini adalah</w:t>
      </w:r>
      <w:r>
        <w:rPr>
          <w:rFonts w:ascii="Times New Roman" w:hAnsi="Times New Roman"/>
        </w:rPr>
        <w:t xml:space="preserve"> audit delay</w:t>
      </w:r>
      <w:r w:rsidRPr="003D45AD">
        <w:rPr>
          <w:rFonts w:ascii="Times New Roman" w:hAnsi="Times New Roman"/>
        </w:rPr>
        <w:t>.</w:t>
      </w:r>
      <w:r w:rsidR="00BF1C3A">
        <w:rPr>
          <w:rFonts w:ascii="Times New Roman" w:hAnsi="Times New Roman"/>
        </w:rPr>
        <w:t xml:space="preserve"> Audit delay menurut Lawrence dan Briyan (1988) dalam Yugo Trianto (2006:31) adalah lamanya hari yang dibutuhkan auditor untuk menyelesaikan </w:t>
      </w:r>
      <w:r w:rsidR="00BF1C3A" w:rsidRPr="00737D86">
        <w:rPr>
          <w:rFonts w:ascii="Times New Roman" w:hAnsi="Times New Roman"/>
        </w:rPr>
        <w:t>pekerjaan aud</w:t>
      </w:r>
      <w:r w:rsidR="00BF1C3A">
        <w:rPr>
          <w:rFonts w:ascii="Times New Roman" w:hAnsi="Times New Roman"/>
        </w:rPr>
        <w:t xml:space="preserve">it-nya yang diukur dari tanggal penutupan tahun buku hingga tanggal </w:t>
      </w:r>
      <w:r w:rsidR="00BF1C3A" w:rsidRPr="00737D86">
        <w:rPr>
          <w:rFonts w:ascii="Times New Roman" w:hAnsi="Times New Roman"/>
        </w:rPr>
        <w:t>diterbitkannya lapora</w:t>
      </w:r>
      <w:r w:rsidR="00BF1C3A">
        <w:rPr>
          <w:rFonts w:ascii="Times New Roman" w:hAnsi="Times New Roman"/>
        </w:rPr>
        <w:t xml:space="preserve">n keuangan audit. Semakin lama rentang hari dari tanggal tutup buku sampai tanggal diterbitkannya laporan keuangan audit, itu berarti audit delay nya semakin panjang yang mencerminkan kualitas dari kantor akuntan publik tersebut. </w:t>
      </w:r>
    </w:p>
    <w:p w:rsidR="00BF1C3A" w:rsidRDefault="00555871" w:rsidP="00BF1C3A">
      <w:pPr>
        <w:spacing w:line="480" w:lineRule="auto"/>
        <w:ind w:firstLine="567"/>
        <w:jc w:val="both"/>
        <w:rPr>
          <w:rFonts w:ascii="Times New Roman" w:hAnsi="Times New Roman"/>
        </w:rPr>
      </w:pPr>
      <w:r w:rsidRPr="003D45AD">
        <w:rPr>
          <w:rFonts w:ascii="Times New Roman" w:hAnsi="Times New Roman"/>
        </w:rPr>
        <w:t xml:space="preserve">Variabel Bebas </w:t>
      </w:r>
      <w:r w:rsidRPr="00D54FAE">
        <w:rPr>
          <w:rFonts w:ascii="Times New Roman" w:hAnsi="Times New Roman"/>
          <w:i/>
        </w:rPr>
        <w:t>(Independent Variabel)</w:t>
      </w:r>
      <w:r w:rsidRPr="003D45AD">
        <w:rPr>
          <w:rFonts w:ascii="Times New Roman" w:hAnsi="Times New Roman"/>
        </w:rPr>
        <w:t xml:space="preserve"> atau (X), yaitu variabel yang tidak dipengaruhi oleh variabel lainnya atau variabel yang mempengaruhi variabel terikat. </w:t>
      </w:r>
      <w:r w:rsidRPr="003D45AD">
        <w:rPr>
          <w:rFonts w:ascii="Times New Roman" w:hAnsi="Times New Roman"/>
        </w:rPr>
        <w:lastRenderedPageBreak/>
        <w:t>Variabel be</w:t>
      </w:r>
      <w:r>
        <w:rPr>
          <w:rFonts w:ascii="Times New Roman" w:hAnsi="Times New Roman"/>
        </w:rPr>
        <w:t>bas dalam penelitian ini adalah Profitabilitas (X1) dan Solvabilitas (X2).</w:t>
      </w:r>
      <w:r w:rsidR="00BF1C3A">
        <w:rPr>
          <w:rFonts w:ascii="Times New Roman" w:hAnsi="Times New Roman"/>
        </w:rPr>
        <w:t xml:space="preserve"> P</w:t>
      </w:r>
      <w:r w:rsidR="00BF1C3A" w:rsidRPr="00344066">
        <w:rPr>
          <w:rFonts w:ascii="Times New Roman" w:hAnsi="Times New Roman"/>
        </w:rPr>
        <w:t xml:space="preserve">rofitabilitas merupakan rasio yang mengukur </w:t>
      </w:r>
      <w:r w:rsidR="00BF1C3A">
        <w:rPr>
          <w:rFonts w:ascii="Times New Roman" w:hAnsi="Times New Roman"/>
        </w:rPr>
        <w:t>laba p</w:t>
      </w:r>
      <w:r w:rsidR="00BF1C3A" w:rsidRPr="00344066">
        <w:rPr>
          <w:rFonts w:ascii="Times New Roman" w:hAnsi="Times New Roman"/>
        </w:rPr>
        <w:t xml:space="preserve">erusahaan relatif terhadap </w:t>
      </w:r>
      <w:r w:rsidR="00BF1C3A" w:rsidRPr="00D54FAE">
        <w:rPr>
          <w:rFonts w:ascii="Times New Roman" w:hAnsi="Times New Roman"/>
          <w:i/>
        </w:rPr>
        <w:t>revenue (sales)</w:t>
      </w:r>
      <w:r w:rsidR="00BF1C3A" w:rsidRPr="00344066">
        <w:rPr>
          <w:rFonts w:ascii="Times New Roman" w:hAnsi="Times New Roman"/>
        </w:rPr>
        <w:t xml:space="preserve"> dan modal yang diinvestasikan.</w:t>
      </w:r>
      <w:r w:rsidR="00BF1C3A" w:rsidRPr="00D64715">
        <w:rPr>
          <w:rFonts w:ascii="Times New Roman" w:hAnsi="Times New Roman"/>
        </w:rPr>
        <w:t xml:space="preserve">Profitabilitas diukur dengan rasio </w:t>
      </w:r>
      <w:r w:rsidR="00BF1C3A" w:rsidRPr="00D54FAE">
        <w:rPr>
          <w:rFonts w:ascii="Times New Roman" w:hAnsi="Times New Roman"/>
          <w:i/>
        </w:rPr>
        <w:t>return on asset (ROA)</w:t>
      </w:r>
      <w:r w:rsidR="00BF1C3A">
        <w:rPr>
          <w:rFonts w:ascii="Times New Roman" w:hAnsi="Times New Roman"/>
        </w:rPr>
        <w:t xml:space="preserve">, yaitu rasio laba setelah pajak terhadap rata-rata asset. </w:t>
      </w:r>
      <w:r w:rsidR="00BF1C3A" w:rsidRPr="00401DDC">
        <w:rPr>
          <w:rFonts w:ascii="Times New Roman" w:hAnsi="Times New Roman"/>
          <w:i/>
        </w:rPr>
        <w:t xml:space="preserve">Return on </w:t>
      </w:r>
      <w:r w:rsidR="00BF1C3A" w:rsidRPr="00D54FAE">
        <w:rPr>
          <w:rFonts w:ascii="Times New Roman" w:hAnsi="Times New Roman"/>
          <w:i/>
        </w:rPr>
        <w:t>asset</w:t>
      </w:r>
      <w:r w:rsidR="00BF1C3A" w:rsidRPr="00344066">
        <w:rPr>
          <w:rFonts w:ascii="Times New Roman" w:hAnsi="Times New Roman"/>
        </w:rPr>
        <w:t xml:space="preserve"> merupakan ukuran efektifitas perusahaan di dalam menghasilkan keuntungan dengan memanfaatkan </w:t>
      </w:r>
      <w:r w:rsidR="00BF1C3A">
        <w:rPr>
          <w:rFonts w:ascii="Times New Roman" w:hAnsi="Times New Roman"/>
        </w:rPr>
        <w:t xml:space="preserve">aset </w:t>
      </w:r>
      <w:r w:rsidR="00BF1C3A" w:rsidRPr="00344066">
        <w:rPr>
          <w:rFonts w:ascii="Times New Roman" w:hAnsi="Times New Roman"/>
        </w:rPr>
        <w:t>yang dimilikinya.</w:t>
      </w:r>
      <w:r w:rsidR="00BF1C3A">
        <w:rPr>
          <w:rFonts w:ascii="Times New Roman" w:hAnsi="Times New Roman"/>
        </w:rPr>
        <w:t xml:space="preserve"> Solvabilitas adalah kemampuan perusahaan untuk memenuhi semua </w:t>
      </w:r>
      <w:r w:rsidR="00BF1C3A" w:rsidRPr="00D64715">
        <w:rPr>
          <w:rFonts w:ascii="Times New Roman" w:hAnsi="Times New Roman"/>
        </w:rPr>
        <w:t>kewaji</w:t>
      </w:r>
      <w:r w:rsidR="00BF1C3A">
        <w:rPr>
          <w:rFonts w:ascii="Times New Roman" w:hAnsi="Times New Roman"/>
        </w:rPr>
        <w:t xml:space="preserve">ban-kewajibannya baik kewajiban </w:t>
      </w:r>
      <w:r w:rsidR="00BF1C3A" w:rsidRPr="00D64715">
        <w:rPr>
          <w:rFonts w:ascii="Times New Roman" w:hAnsi="Times New Roman"/>
        </w:rPr>
        <w:t>jangka p</w:t>
      </w:r>
      <w:r w:rsidR="00BF1C3A">
        <w:rPr>
          <w:rFonts w:ascii="Times New Roman" w:hAnsi="Times New Roman"/>
        </w:rPr>
        <w:t xml:space="preserve">endek maupun jangka panjangnya. Perusahaan yang tidak solvabel adalah </w:t>
      </w:r>
      <w:r w:rsidR="00BF1C3A" w:rsidRPr="00D64715">
        <w:rPr>
          <w:rFonts w:ascii="Times New Roman" w:hAnsi="Times New Roman"/>
        </w:rPr>
        <w:t xml:space="preserve">perusahaan </w:t>
      </w:r>
      <w:r w:rsidR="00BF1C3A">
        <w:rPr>
          <w:rFonts w:ascii="Times New Roman" w:hAnsi="Times New Roman"/>
        </w:rPr>
        <w:t xml:space="preserve">yang utang totalnya lebih besar dibandingkan total asetnya </w:t>
      </w:r>
      <w:r w:rsidR="00BF1C3A" w:rsidRPr="000C0D53">
        <w:rPr>
          <w:rFonts w:ascii="Times New Roman" w:hAnsi="Times New Roman"/>
          <w:color w:val="000000" w:themeColor="text1"/>
        </w:rPr>
        <w:t xml:space="preserve">(Hanafi dan Halim, 1996). </w:t>
      </w:r>
      <w:r w:rsidR="00BF1C3A" w:rsidRPr="00794DA8">
        <w:rPr>
          <w:rFonts w:ascii="Times New Roman" w:hAnsi="Times New Roman"/>
        </w:rPr>
        <w:t>Dalam peneliti</w:t>
      </w:r>
      <w:r w:rsidR="00BF1C3A">
        <w:rPr>
          <w:rFonts w:ascii="Times New Roman" w:hAnsi="Times New Roman"/>
        </w:rPr>
        <w:t>an ini yang menjadi tolak ukur s</w:t>
      </w:r>
      <w:r w:rsidR="00BF1C3A" w:rsidRPr="00794DA8">
        <w:rPr>
          <w:rFonts w:ascii="Times New Roman" w:hAnsi="Times New Roman"/>
        </w:rPr>
        <w:t xml:space="preserve">olvabilitas diukur dengan rasio </w:t>
      </w:r>
      <w:r w:rsidR="00BF1C3A" w:rsidRPr="00F1474C">
        <w:rPr>
          <w:rFonts w:ascii="Times New Roman" w:hAnsi="Times New Roman"/>
          <w:i/>
        </w:rPr>
        <w:t xml:space="preserve">Total Debt to Total </w:t>
      </w:r>
      <w:r w:rsidR="00BF1C3A" w:rsidRPr="00D54FAE">
        <w:rPr>
          <w:rFonts w:ascii="Times New Roman" w:hAnsi="Times New Roman"/>
          <w:i/>
        </w:rPr>
        <w:t>Asset</w:t>
      </w:r>
      <w:r w:rsidR="00BF1C3A" w:rsidRPr="00F1474C">
        <w:rPr>
          <w:rFonts w:ascii="Times New Roman" w:hAnsi="Times New Roman"/>
          <w:i/>
        </w:rPr>
        <w:t xml:space="preserve"> Ratio</w:t>
      </w:r>
      <w:r w:rsidR="00BF1C3A" w:rsidRPr="00794DA8">
        <w:rPr>
          <w:rFonts w:ascii="Times New Roman" w:hAnsi="Times New Roman"/>
        </w:rPr>
        <w:t xml:space="preserve"> (TDTA)</w:t>
      </w:r>
      <w:r w:rsidR="00BF1C3A">
        <w:rPr>
          <w:rFonts w:ascii="Times New Roman" w:hAnsi="Times New Roman"/>
        </w:rPr>
        <w:t xml:space="preserve"> yang membandingkan jumlah</w:t>
      </w:r>
      <w:r w:rsidR="00BF1C3A" w:rsidRPr="00D54FAE">
        <w:rPr>
          <w:rFonts w:ascii="Times New Roman" w:hAnsi="Times New Roman"/>
          <w:i/>
        </w:rPr>
        <w:t>asset</w:t>
      </w:r>
      <w:r w:rsidR="00BF1C3A" w:rsidRPr="00794DA8">
        <w:rPr>
          <w:rFonts w:ascii="Times New Roman" w:hAnsi="Times New Roman"/>
        </w:rPr>
        <w:t xml:space="preserve"> dengan jumlah utang (baik jangka pendek ataupun jangka panjang). </w:t>
      </w:r>
    </w:p>
    <w:p w:rsidR="00BF1C3A" w:rsidRDefault="00555871" w:rsidP="00BF1C3A">
      <w:pPr>
        <w:spacing w:line="480" w:lineRule="auto"/>
        <w:ind w:firstLine="567"/>
        <w:jc w:val="both"/>
        <w:rPr>
          <w:rFonts w:ascii="Times New Roman" w:hAnsi="Times New Roman"/>
        </w:rPr>
      </w:pPr>
      <w:r w:rsidRPr="00555871">
        <w:rPr>
          <w:rFonts w:ascii="Times New Roman" w:hAnsi="Times New Roman"/>
        </w:rPr>
        <w:t xml:space="preserve">Variabel moderasi adalah variabel yang mempengaruhi (memperkuat atau memperlemah) hubungan antara variabel bebas dengan variabel terikat (Sugiyono, 2013). Reputasi kantor akuntan publik menjadi variabel moderasi dalam penelitian ini. </w:t>
      </w:r>
      <w:r w:rsidR="00BF1C3A" w:rsidRPr="00795FFB">
        <w:rPr>
          <w:rFonts w:ascii="Times New Roman" w:hAnsi="Times New Roman"/>
        </w:rPr>
        <w:t xml:space="preserve">Variabel moderasi adalah variabel yang mempengaruhi (memperkuat atau memperlemah) hubungan antara variabel bebas dengan </w:t>
      </w:r>
      <w:r w:rsidR="00BF1C3A">
        <w:rPr>
          <w:rFonts w:ascii="Times New Roman" w:hAnsi="Times New Roman"/>
        </w:rPr>
        <w:t xml:space="preserve">variabel terikat (Sugiyono, 2013). Reputasi kantor akuntan publik </w:t>
      </w:r>
      <w:r w:rsidR="00BF1C3A" w:rsidRPr="00795FFB">
        <w:rPr>
          <w:rFonts w:ascii="Times New Roman" w:hAnsi="Times New Roman"/>
        </w:rPr>
        <w:t>menjadi variabel moderasi</w:t>
      </w:r>
      <w:r w:rsidR="00BF1C3A">
        <w:rPr>
          <w:rFonts w:ascii="Times New Roman" w:hAnsi="Times New Roman"/>
        </w:rPr>
        <w:t xml:space="preserve"> dalam penelitian ini. Reputasi kantor akuntan publik </w:t>
      </w:r>
      <w:r w:rsidR="00BF1C3A" w:rsidRPr="00795FFB">
        <w:rPr>
          <w:rFonts w:ascii="Times New Roman" w:hAnsi="Times New Roman"/>
        </w:rPr>
        <w:t>diukur dari besar kecilnya kantor akuntan publik yang digu</w:t>
      </w:r>
      <w:r w:rsidR="00BF1C3A">
        <w:rPr>
          <w:rFonts w:ascii="Times New Roman" w:hAnsi="Times New Roman"/>
        </w:rPr>
        <w:t xml:space="preserve">nakan oleh perusahaan. Reputasi kantor akuntan publik </w:t>
      </w:r>
      <w:r w:rsidR="00BF1C3A" w:rsidRPr="00795FFB">
        <w:rPr>
          <w:rFonts w:ascii="Times New Roman" w:hAnsi="Times New Roman"/>
        </w:rPr>
        <w:t>diukur menggunakan variabel dummy. Perusahaan y</w:t>
      </w:r>
      <w:r w:rsidR="00BF1C3A">
        <w:rPr>
          <w:rFonts w:ascii="Times New Roman" w:hAnsi="Times New Roman"/>
        </w:rPr>
        <w:t xml:space="preserve">ang menggunakan jasa KAP yang </w:t>
      </w:r>
      <w:r w:rsidR="00BF1C3A">
        <w:rPr>
          <w:rFonts w:ascii="Times New Roman" w:hAnsi="Times New Roman"/>
        </w:rPr>
        <w:lastRenderedPageBreak/>
        <w:t xml:space="preserve">berafiliasi dengan KAP </w:t>
      </w:r>
      <w:r w:rsidR="00BF1C3A" w:rsidRPr="00D54FAE">
        <w:rPr>
          <w:rFonts w:ascii="Times New Roman" w:hAnsi="Times New Roman"/>
          <w:i/>
        </w:rPr>
        <w:t>Big Four</w:t>
      </w:r>
      <w:r w:rsidR="00BF1C3A" w:rsidRPr="00795FFB">
        <w:rPr>
          <w:rFonts w:ascii="Times New Roman" w:hAnsi="Times New Roman"/>
        </w:rPr>
        <w:t xml:space="preserve"> diberi nilai dummy 1 dan perusahaan yang menggunakan selain KAP ya</w:t>
      </w:r>
      <w:r w:rsidR="00BF1C3A">
        <w:rPr>
          <w:rFonts w:ascii="Times New Roman" w:hAnsi="Times New Roman"/>
        </w:rPr>
        <w:t xml:space="preserve">ng berafiliasi dengan KAP </w:t>
      </w:r>
      <w:r w:rsidR="00BF1C3A" w:rsidRPr="00D54FAE">
        <w:rPr>
          <w:rFonts w:ascii="Times New Roman" w:hAnsi="Times New Roman"/>
          <w:i/>
        </w:rPr>
        <w:t>Big Four</w:t>
      </w:r>
      <w:r w:rsidR="00BF1C3A" w:rsidRPr="00795FFB">
        <w:rPr>
          <w:rFonts w:ascii="Times New Roman" w:hAnsi="Times New Roman"/>
        </w:rPr>
        <w:t xml:space="preserve"> diberi nilai 0.</w:t>
      </w:r>
    </w:p>
    <w:p w:rsidR="00731707" w:rsidRPr="00731707" w:rsidRDefault="00731707" w:rsidP="00731707">
      <w:pPr>
        <w:spacing w:line="480" w:lineRule="auto"/>
        <w:ind w:firstLine="567"/>
        <w:jc w:val="both"/>
        <w:rPr>
          <w:rFonts w:ascii="Times New Roman" w:hAnsi="Times New Roman"/>
          <w:b/>
        </w:rPr>
      </w:pPr>
      <w:r w:rsidRPr="00731707">
        <w:rPr>
          <w:rFonts w:ascii="Times New Roman" w:eastAsiaTheme="minorEastAsia" w:hAnsi="Times New Roman"/>
          <w:lang w:eastAsia="ja-JP"/>
        </w:rPr>
        <w:t>Data yang digunakan dalam penelitian ini adalah data kuantitatif. Data kuantitatif merupakan data dalam bentuk angka-angka atau data-data kuantitatif yang diangkakan (Sugiyono, 2013:14). Data kuantitatif dalam penelitian ini adalah data keuangan dalam laporan keuangan yang dipublikasikan oleh perusahaan properti yang terdaftar di Bursa Efek Indonesia tahun 2011-2014.</w:t>
      </w:r>
    </w:p>
    <w:p w:rsidR="00731707" w:rsidRPr="00731707" w:rsidRDefault="00731707" w:rsidP="00731707">
      <w:pPr>
        <w:spacing w:line="480" w:lineRule="auto"/>
        <w:ind w:firstLine="567"/>
        <w:jc w:val="both"/>
        <w:rPr>
          <w:rFonts w:ascii="Times New Roman" w:hAnsi="Times New Roman"/>
          <w:color w:val="000000" w:themeColor="text1"/>
        </w:rPr>
      </w:pPr>
      <w:r w:rsidRPr="00731707">
        <w:rPr>
          <w:rFonts w:ascii="Times New Roman" w:hAnsi="Times New Roman"/>
        </w:rPr>
        <w:t xml:space="preserve">Sumber data yang digunakan dalam penelitian ini adalah data sekunder yaitu sumber data yang diperoleh peneliti secara tidak langsung tetapi melalui media perantara atau kegiatan dokumentasi. Data sekunder dalam penelitian ini berupa laporan keuangan, bukti, catatan atau laporan historis yang telah tersusun dalam arsip (data dokumenter) dari perusahaan yang terdaftar dalam sektor properti di BEI. Serta berbagai sumber seperti situs resmi BEI yaitu </w:t>
      </w:r>
      <w:hyperlink r:id="rId10" w:history="1">
        <w:r w:rsidRPr="00731707">
          <w:rPr>
            <w:rStyle w:val="Hyperlink"/>
            <w:rFonts w:ascii="Times New Roman" w:hAnsi="Times New Roman"/>
            <w:color w:val="000000" w:themeColor="text1"/>
            <w:u w:val="none"/>
          </w:rPr>
          <w:t>www.idx.co.id</w:t>
        </w:r>
      </w:hyperlink>
      <w:r w:rsidRPr="00731707">
        <w:rPr>
          <w:rFonts w:ascii="Times New Roman" w:hAnsi="Times New Roman"/>
          <w:color w:val="000000" w:themeColor="text1"/>
        </w:rPr>
        <w:t>.</w:t>
      </w:r>
    </w:p>
    <w:p w:rsidR="00555871" w:rsidRPr="00555871" w:rsidRDefault="00731707" w:rsidP="00731707">
      <w:pPr>
        <w:spacing w:line="480" w:lineRule="auto"/>
        <w:ind w:firstLine="567"/>
        <w:jc w:val="both"/>
        <w:rPr>
          <w:rFonts w:ascii="Times New Roman" w:hAnsi="Times New Roman"/>
        </w:rPr>
      </w:pPr>
      <w:r w:rsidRPr="00731707">
        <w:rPr>
          <w:rFonts w:ascii="Times New Roman" w:hAnsi="Times New Roman"/>
        </w:rPr>
        <w:t>Sugiyono (2013:115), menyatakan bahwa populasi adalah wilayah generalisasi yang terdiri atas objek atau subyek yang mempunyai kualitas dan karakteristik tertentu yang ditetapkan oleh peneliti untuk dipelajari dan kemudian ditarik kesimpulannya. Populasi dalam penelitian ini adalah seluruh perusahaan sektor properti yang terdaftar di Bursa Efek Indonesia.</w:t>
      </w:r>
      <w:r w:rsidRPr="00B11BA4">
        <w:rPr>
          <w:rFonts w:ascii="Times New Roman" w:hAnsi="Times New Roman"/>
        </w:rPr>
        <w:t>Sampel adalah bagian dari jumlah dan karakteristik yang dimiliki populasi tersebut (Sugi</w:t>
      </w:r>
      <w:r>
        <w:rPr>
          <w:rFonts w:ascii="Times New Roman" w:hAnsi="Times New Roman"/>
        </w:rPr>
        <w:t>y</w:t>
      </w:r>
      <w:r w:rsidRPr="00B11BA4">
        <w:rPr>
          <w:rFonts w:ascii="Times New Roman" w:hAnsi="Times New Roman"/>
        </w:rPr>
        <w:t>ono, 201</w:t>
      </w:r>
      <w:r>
        <w:rPr>
          <w:rFonts w:ascii="Times New Roman" w:hAnsi="Times New Roman"/>
        </w:rPr>
        <w:t>3</w:t>
      </w:r>
      <w:r w:rsidRPr="00B11BA4">
        <w:rPr>
          <w:rFonts w:ascii="Times New Roman" w:hAnsi="Times New Roman"/>
        </w:rPr>
        <w:t xml:space="preserve">:116). </w:t>
      </w:r>
      <w:r>
        <w:rPr>
          <w:rFonts w:ascii="Times New Roman" w:hAnsi="Times New Roman"/>
        </w:rPr>
        <w:t>Sampel penelitian kali ini adalah laporan keuangan dari perusahaan yang terdaftar dalam sektor properti di Bursa Efek Indonesia dan menerbitkan laporan keuangannya tahun 2011-2014. Metode penentuan sampel</w:t>
      </w:r>
      <w:r w:rsidRPr="00B11BA4">
        <w:rPr>
          <w:rFonts w:ascii="Times New Roman" w:hAnsi="Times New Roman"/>
        </w:rPr>
        <w:t xml:space="preserve"> yang digunakan </w:t>
      </w:r>
      <w:r>
        <w:rPr>
          <w:rFonts w:ascii="Times New Roman" w:hAnsi="Times New Roman"/>
        </w:rPr>
        <w:t xml:space="preserve">adalah </w:t>
      </w:r>
      <w:r w:rsidRPr="00D54FAE">
        <w:rPr>
          <w:rFonts w:ascii="Times New Roman" w:hAnsi="Times New Roman"/>
          <w:i/>
        </w:rPr>
        <w:t>nonprobability sampling</w:t>
      </w:r>
      <w:r>
        <w:rPr>
          <w:rFonts w:ascii="Times New Roman" w:hAnsi="Times New Roman"/>
        </w:rPr>
        <w:t xml:space="preserve"> dengan </w:t>
      </w:r>
      <w:r>
        <w:rPr>
          <w:rFonts w:ascii="Times New Roman" w:hAnsi="Times New Roman"/>
        </w:rPr>
        <w:lastRenderedPageBreak/>
        <w:t xml:space="preserve">teknik </w:t>
      </w:r>
      <w:r w:rsidRPr="00D54FAE">
        <w:rPr>
          <w:rFonts w:ascii="Times New Roman" w:hAnsi="Times New Roman"/>
          <w:i/>
        </w:rPr>
        <w:t>purposive sampling</w:t>
      </w:r>
      <w:r>
        <w:rPr>
          <w:rFonts w:ascii="Times New Roman" w:hAnsi="Times New Roman"/>
        </w:rPr>
        <w:t xml:space="preserve">. Teknik </w:t>
      </w:r>
      <w:r w:rsidRPr="00D54FAE">
        <w:rPr>
          <w:rFonts w:ascii="Times New Roman" w:hAnsi="Times New Roman"/>
          <w:i/>
        </w:rPr>
        <w:t>purposive sampling</w:t>
      </w:r>
      <w:r w:rsidRPr="00B11BA4">
        <w:rPr>
          <w:rFonts w:ascii="Times New Roman" w:hAnsi="Times New Roman"/>
        </w:rPr>
        <w:t>yaitu teknik pengambilan sampel dengan kriteria-kriteria yang telah ditetapkan sebelumnya oleh</w:t>
      </w:r>
      <w:r>
        <w:rPr>
          <w:rFonts w:ascii="Times New Roman" w:hAnsi="Times New Roman"/>
        </w:rPr>
        <w:t xml:space="preserve"> peneliti (Sugiyono, 2013:122).</w:t>
      </w:r>
    </w:p>
    <w:p w:rsidR="00731707" w:rsidRDefault="00731707" w:rsidP="00B355EE">
      <w:pPr>
        <w:contextualSpacing/>
        <w:rPr>
          <w:rFonts w:ascii="Times New Roman" w:eastAsiaTheme="minorEastAsia" w:hAnsi="Times New Roman"/>
          <w:b/>
          <w:lang w:eastAsia="ja-JP"/>
        </w:rPr>
      </w:pPr>
    </w:p>
    <w:p w:rsidR="00731707" w:rsidRDefault="00731707" w:rsidP="00731707">
      <w:pPr>
        <w:contextualSpacing/>
        <w:jc w:val="center"/>
        <w:rPr>
          <w:rFonts w:ascii="Times New Roman" w:eastAsiaTheme="minorEastAsia" w:hAnsi="Times New Roman"/>
          <w:b/>
          <w:lang w:eastAsia="ja-JP"/>
        </w:rPr>
      </w:pPr>
      <w:r w:rsidRPr="00ED48EA">
        <w:rPr>
          <w:rFonts w:ascii="Times New Roman" w:eastAsiaTheme="minorEastAsia" w:hAnsi="Times New Roman"/>
          <w:b/>
          <w:lang w:eastAsia="ja-JP"/>
        </w:rPr>
        <w:t xml:space="preserve">Tabel </w:t>
      </w:r>
      <w:r>
        <w:rPr>
          <w:rFonts w:ascii="Times New Roman" w:eastAsiaTheme="minorEastAsia" w:hAnsi="Times New Roman"/>
          <w:b/>
          <w:lang w:eastAsia="ja-JP"/>
        </w:rPr>
        <w:t>1.</w:t>
      </w:r>
    </w:p>
    <w:p w:rsidR="00244C6C" w:rsidRPr="00ED48EA" w:rsidRDefault="00731707" w:rsidP="00F74F9A">
      <w:pPr>
        <w:contextualSpacing/>
        <w:jc w:val="center"/>
        <w:rPr>
          <w:rFonts w:ascii="Times New Roman" w:eastAsiaTheme="minorEastAsia" w:hAnsi="Times New Roman"/>
          <w:b/>
          <w:lang w:eastAsia="ja-JP"/>
        </w:rPr>
      </w:pPr>
      <w:r w:rsidRPr="00ED48EA">
        <w:rPr>
          <w:rFonts w:ascii="Times New Roman" w:eastAsiaTheme="minorEastAsia" w:hAnsi="Times New Roman"/>
          <w:b/>
          <w:lang w:eastAsia="ja-JP"/>
        </w:rPr>
        <w:t>Seleksi Pemilihan Sampel</w:t>
      </w:r>
    </w:p>
    <w:tbl>
      <w:tblPr>
        <w:tblStyle w:val="TableGrid"/>
        <w:tblW w:w="8154" w:type="dxa"/>
        <w:jc w:val="center"/>
        <w:tblBorders>
          <w:left w:val="none" w:sz="0" w:space="0" w:color="auto"/>
          <w:right w:val="none" w:sz="0" w:space="0" w:color="auto"/>
          <w:insideV w:val="none" w:sz="0" w:space="0" w:color="auto"/>
        </w:tblBorders>
        <w:tblLook w:val="04A0"/>
      </w:tblPr>
      <w:tblGrid>
        <w:gridCol w:w="558"/>
        <w:gridCol w:w="5940"/>
        <w:gridCol w:w="1656"/>
      </w:tblGrid>
      <w:tr w:rsidR="00731707" w:rsidRPr="00731707" w:rsidTr="00731707">
        <w:trPr>
          <w:jc w:val="center"/>
        </w:trPr>
        <w:tc>
          <w:tcPr>
            <w:tcW w:w="558" w:type="dxa"/>
            <w:tcBorders>
              <w:bottom w:val="single" w:sz="4" w:space="0" w:color="000000"/>
            </w:tcBorders>
          </w:tcPr>
          <w:p w:rsidR="00731707" w:rsidRPr="00731707" w:rsidRDefault="00731707" w:rsidP="00E1620B">
            <w:pPr>
              <w:pStyle w:val="Default"/>
              <w:jc w:val="center"/>
              <w:rPr>
                <w:b/>
                <w:iCs/>
                <w:sz w:val="20"/>
              </w:rPr>
            </w:pPr>
            <w:r w:rsidRPr="00731707">
              <w:rPr>
                <w:b/>
                <w:iCs/>
                <w:sz w:val="20"/>
              </w:rPr>
              <w:t>No</w:t>
            </w:r>
          </w:p>
        </w:tc>
        <w:tc>
          <w:tcPr>
            <w:tcW w:w="5940" w:type="dxa"/>
            <w:tcBorders>
              <w:bottom w:val="single" w:sz="4" w:space="0" w:color="000000"/>
            </w:tcBorders>
          </w:tcPr>
          <w:p w:rsidR="00731707" w:rsidRPr="00731707" w:rsidRDefault="00731707" w:rsidP="00E1620B">
            <w:pPr>
              <w:pStyle w:val="Default"/>
              <w:jc w:val="center"/>
              <w:rPr>
                <w:b/>
                <w:iCs/>
                <w:sz w:val="20"/>
              </w:rPr>
            </w:pPr>
            <w:r w:rsidRPr="00731707">
              <w:rPr>
                <w:b/>
                <w:iCs/>
                <w:sz w:val="20"/>
              </w:rPr>
              <w:t>Kriteria</w:t>
            </w:r>
          </w:p>
        </w:tc>
        <w:tc>
          <w:tcPr>
            <w:tcW w:w="1656" w:type="dxa"/>
            <w:tcBorders>
              <w:bottom w:val="single" w:sz="4" w:space="0" w:color="000000"/>
            </w:tcBorders>
          </w:tcPr>
          <w:p w:rsidR="00731707" w:rsidRPr="00731707" w:rsidRDefault="00731707" w:rsidP="00E1620B">
            <w:pPr>
              <w:pStyle w:val="Default"/>
              <w:jc w:val="center"/>
              <w:rPr>
                <w:b/>
                <w:iCs/>
                <w:sz w:val="20"/>
              </w:rPr>
            </w:pPr>
            <w:r w:rsidRPr="00731707">
              <w:rPr>
                <w:b/>
                <w:iCs/>
                <w:sz w:val="20"/>
              </w:rPr>
              <w:t>Jumlah</w:t>
            </w:r>
          </w:p>
        </w:tc>
      </w:tr>
      <w:tr w:rsidR="00731707" w:rsidRPr="00731707" w:rsidTr="00731707">
        <w:trPr>
          <w:trHeight w:val="70"/>
          <w:jc w:val="center"/>
        </w:trPr>
        <w:tc>
          <w:tcPr>
            <w:tcW w:w="558" w:type="dxa"/>
            <w:tcBorders>
              <w:bottom w:val="nil"/>
            </w:tcBorders>
          </w:tcPr>
          <w:p w:rsidR="00731707" w:rsidRPr="00731707" w:rsidRDefault="00731707" w:rsidP="00E1620B">
            <w:pPr>
              <w:pStyle w:val="Default"/>
              <w:jc w:val="both"/>
              <w:rPr>
                <w:iCs/>
                <w:sz w:val="20"/>
              </w:rPr>
            </w:pPr>
            <w:r w:rsidRPr="00731707">
              <w:rPr>
                <w:iCs/>
                <w:sz w:val="20"/>
              </w:rPr>
              <w:t>1</w:t>
            </w:r>
          </w:p>
        </w:tc>
        <w:tc>
          <w:tcPr>
            <w:tcW w:w="5940" w:type="dxa"/>
            <w:tcBorders>
              <w:bottom w:val="nil"/>
            </w:tcBorders>
          </w:tcPr>
          <w:p w:rsidR="00731707" w:rsidRPr="00731707" w:rsidRDefault="00731707" w:rsidP="00E1620B">
            <w:pPr>
              <w:pStyle w:val="Default"/>
              <w:jc w:val="both"/>
              <w:rPr>
                <w:sz w:val="20"/>
              </w:rPr>
            </w:pPr>
            <w:r w:rsidRPr="00731707">
              <w:rPr>
                <w:sz w:val="20"/>
              </w:rPr>
              <w:t>Perusahaan properti yang terdaftar di Bursa Efek Indonesia tahun 2011-2014.</w:t>
            </w:r>
          </w:p>
        </w:tc>
        <w:tc>
          <w:tcPr>
            <w:tcW w:w="1656" w:type="dxa"/>
            <w:tcBorders>
              <w:bottom w:val="nil"/>
            </w:tcBorders>
          </w:tcPr>
          <w:p w:rsidR="00731707" w:rsidRPr="00731707" w:rsidRDefault="00731707" w:rsidP="00E1620B">
            <w:pPr>
              <w:pStyle w:val="Default"/>
              <w:jc w:val="center"/>
              <w:rPr>
                <w:iCs/>
                <w:sz w:val="20"/>
              </w:rPr>
            </w:pPr>
            <w:r w:rsidRPr="00731707">
              <w:rPr>
                <w:iCs/>
                <w:sz w:val="20"/>
              </w:rPr>
              <w:t>45</w:t>
            </w:r>
          </w:p>
        </w:tc>
      </w:tr>
      <w:tr w:rsidR="00731707" w:rsidRPr="00731707" w:rsidTr="00731707">
        <w:trPr>
          <w:jc w:val="center"/>
        </w:trPr>
        <w:tc>
          <w:tcPr>
            <w:tcW w:w="558" w:type="dxa"/>
            <w:tcBorders>
              <w:top w:val="nil"/>
              <w:bottom w:val="nil"/>
            </w:tcBorders>
          </w:tcPr>
          <w:p w:rsidR="00731707" w:rsidRPr="00731707" w:rsidRDefault="00731707" w:rsidP="00E1620B">
            <w:pPr>
              <w:pStyle w:val="Default"/>
              <w:jc w:val="both"/>
              <w:rPr>
                <w:iCs/>
                <w:sz w:val="20"/>
              </w:rPr>
            </w:pPr>
            <w:r w:rsidRPr="00731707">
              <w:rPr>
                <w:iCs/>
                <w:sz w:val="20"/>
              </w:rPr>
              <w:t>2</w:t>
            </w:r>
          </w:p>
        </w:tc>
        <w:tc>
          <w:tcPr>
            <w:tcW w:w="5940" w:type="dxa"/>
            <w:tcBorders>
              <w:top w:val="nil"/>
              <w:bottom w:val="nil"/>
            </w:tcBorders>
          </w:tcPr>
          <w:p w:rsidR="00731707" w:rsidRPr="00731707" w:rsidRDefault="00731707" w:rsidP="00E1620B">
            <w:pPr>
              <w:pStyle w:val="Default"/>
              <w:jc w:val="both"/>
              <w:rPr>
                <w:iCs/>
                <w:sz w:val="20"/>
              </w:rPr>
            </w:pPr>
            <w:r w:rsidRPr="00731707">
              <w:rPr>
                <w:sz w:val="20"/>
              </w:rPr>
              <w:t>Perusahaan yang tidak menerbitkan laporan keuangan berturut-turut 4 tahun dari 2011-2014</w:t>
            </w:r>
          </w:p>
        </w:tc>
        <w:tc>
          <w:tcPr>
            <w:tcW w:w="1656" w:type="dxa"/>
            <w:tcBorders>
              <w:top w:val="nil"/>
              <w:bottom w:val="nil"/>
            </w:tcBorders>
          </w:tcPr>
          <w:p w:rsidR="00731707" w:rsidRPr="00731707" w:rsidRDefault="00731707" w:rsidP="00E1620B">
            <w:pPr>
              <w:pStyle w:val="Default"/>
              <w:jc w:val="center"/>
              <w:rPr>
                <w:iCs/>
                <w:sz w:val="20"/>
              </w:rPr>
            </w:pPr>
            <w:r w:rsidRPr="00731707">
              <w:rPr>
                <w:iCs/>
                <w:sz w:val="20"/>
              </w:rPr>
              <w:t>(3)</w:t>
            </w:r>
          </w:p>
        </w:tc>
      </w:tr>
      <w:tr w:rsidR="00731707" w:rsidRPr="00731707" w:rsidTr="00731707">
        <w:trPr>
          <w:jc w:val="center"/>
        </w:trPr>
        <w:tc>
          <w:tcPr>
            <w:tcW w:w="558" w:type="dxa"/>
            <w:tcBorders>
              <w:top w:val="nil"/>
              <w:bottom w:val="nil"/>
            </w:tcBorders>
          </w:tcPr>
          <w:p w:rsidR="00731707" w:rsidRPr="00731707" w:rsidRDefault="00731707" w:rsidP="00E1620B">
            <w:pPr>
              <w:pStyle w:val="Default"/>
              <w:jc w:val="both"/>
              <w:rPr>
                <w:iCs/>
                <w:sz w:val="20"/>
              </w:rPr>
            </w:pPr>
            <w:r w:rsidRPr="00731707">
              <w:rPr>
                <w:iCs/>
                <w:sz w:val="20"/>
              </w:rPr>
              <w:t>3</w:t>
            </w:r>
          </w:p>
        </w:tc>
        <w:tc>
          <w:tcPr>
            <w:tcW w:w="5940" w:type="dxa"/>
            <w:tcBorders>
              <w:top w:val="nil"/>
              <w:bottom w:val="nil"/>
            </w:tcBorders>
          </w:tcPr>
          <w:p w:rsidR="00731707" w:rsidRPr="00731707" w:rsidRDefault="00731707" w:rsidP="00E1620B">
            <w:pPr>
              <w:pStyle w:val="Default"/>
              <w:jc w:val="both"/>
              <w:rPr>
                <w:sz w:val="20"/>
              </w:rPr>
            </w:pPr>
            <w:r w:rsidRPr="00731707">
              <w:rPr>
                <w:sz w:val="20"/>
              </w:rPr>
              <w:t>Perusahaan yang termasuk sebagai sampel tidak mempublikasikan dengan lengkap laporan keuangan auditan selama empat tahun dari 2011-2014 dan ditandatangani oleh auditor.</w:t>
            </w:r>
          </w:p>
        </w:tc>
        <w:tc>
          <w:tcPr>
            <w:tcW w:w="1656" w:type="dxa"/>
            <w:tcBorders>
              <w:top w:val="nil"/>
              <w:bottom w:val="nil"/>
            </w:tcBorders>
          </w:tcPr>
          <w:p w:rsidR="00731707" w:rsidRPr="00731707" w:rsidRDefault="00731707" w:rsidP="00E1620B">
            <w:pPr>
              <w:pStyle w:val="Default"/>
              <w:jc w:val="center"/>
              <w:rPr>
                <w:iCs/>
                <w:sz w:val="20"/>
              </w:rPr>
            </w:pPr>
            <w:r w:rsidRPr="00731707">
              <w:rPr>
                <w:iCs/>
                <w:sz w:val="20"/>
              </w:rPr>
              <w:t>(0)</w:t>
            </w:r>
          </w:p>
        </w:tc>
      </w:tr>
      <w:tr w:rsidR="00731707" w:rsidRPr="00731707" w:rsidTr="00731707">
        <w:trPr>
          <w:jc w:val="center"/>
        </w:trPr>
        <w:tc>
          <w:tcPr>
            <w:tcW w:w="558" w:type="dxa"/>
            <w:tcBorders>
              <w:top w:val="nil"/>
              <w:bottom w:val="nil"/>
            </w:tcBorders>
          </w:tcPr>
          <w:p w:rsidR="00731707" w:rsidRPr="00731707" w:rsidRDefault="00731707" w:rsidP="00E1620B">
            <w:pPr>
              <w:pStyle w:val="Default"/>
              <w:jc w:val="both"/>
              <w:rPr>
                <w:iCs/>
                <w:sz w:val="20"/>
              </w:rPr>
            </w:pPr>
            <w:r w:rsidRPr="00731707">
              <w:rPr>
                <w:iCs/>
                <w:sz w:val="20"/>
              </w:rPr>
              <w:t>4</w:t>
            </w:r>
          </w:p>
        </w:tc>
        <w:tc>
          <w:tcPr>
            <w:tcW w:w="5940" w:type="dxa"/>
            <w:tcBorders>
              <w:top w:val="nil"/>
              <w:bottom w:val="nil"/>
            </w:tcBorders>
          </w:tcPr>
          <w:p w:rsidR="00731707" w:rsidRPr="00731707" w:rsidRDefault="00731707" w:rsidP="00E1620B">
            <w:pPr>
              <w:pStyle w:val="Default"/>
              <w:jc w:val="both"/>
              <w:rPr>
                <w:iCs/>
                <w:sz w:val="20"/>
              </w:rPr>
            </w:pPr>
            <w:r w:rsidRPr="00731707">
              <w:rPr>
                <w:sz w:val="20"/>
              </w:rPr>
              <w:t>Perusahaan yang melakukan pergantian akuntan publik selama periode 2011-2014</w:t>
            </w:r>
          </w:p>
        </w:tc>
        <w:tc>
          <w:tcPr>
            <w:tcW w:w="1656" w:type="dxa"/>
            <w:tcBorders>
              <w:top w:val="nil"/>
              <w:bottom w:val="nil"/>
            </w:tcBorders>
          </w:tcPr>
          <w:p w:rsidR="00731707" w:rsidRPr="00731707" w:rsidRDefault="00731707" w:rsidP="00E1620B">
            <w:pPr>
              <w:pStyle w:val="Default"/>
              <w:jc w:val="center"/>
              <w:rPr>
                <w:iCs/>
                <w:sz w:val="20"/>
              </w:rPr>
            </w:pPr>
            <w:r w:rsidRPr="00731707">
              <w:rPr>
                <w:iCs/>
                <w:sz w:val="20"/>
              </w:rPr>
              <w:t>(11)</w:t>
            </w:r>
          </w:p>
        </w:tc>
      </w:tr>
      <w:tr w:rsidR="00731707" w:rsidRPr="00731707" w:rsidTr="00731707">
        <w:trPr>
          <w:jc w:val="center"/>
        </w:trPr>
        <w:tc>
          <w:tcPr>
            <w:tcW w:w="558" w:type="dxa"/>
            <w:tcBorders>
              <w:top w:val="nil"/>
              <w:bottom w:val="single" w:sz="4" w:space="0" w:color="000000"/>
            </w:tcBorders>
          </w:tcPr>
          <w:p w:rsidR="00731707" w:rsidRPr="00731707" w:rsidRDefault="00731707" w:rsidP="00E1620B">
            <w:pPr>
              <w:pStyle w:val="Default"/>
              <w:jc w:val="both"/>
              <w:rPr>
                <w:iCs/>
                <w:sz w:val="20"/>
              </w:rPr>
            </w:pPr>
            <w:r w:rsidRPr="00731707">
              <w:rPr>
                <w:iCs/>
                <w:sz w:val="20"/>
              </w:rPr>
              <w:t>5</w:t>
            </w:r>
          </w:p>
        </w:tc>
        <w:tc>
          <w:tcPr>
            <w:tcW w:w="5940" w:type="dxa"/>
            <w:tcBorders>
              <w:top w:val="nil"/>
              <w:bottom w:val="single" w:sz="4" w:space="0" w:color="000000"/>
            </w:tcBorders>
          </w:tcPr>
          <w:p w:rsidR="00731707" w:rsidRPr="00731707" w:rsidRDefault="00731707" w:rsidP="00E1620B">
            <w:pPr>
              <w:pStyle w:val="Default"/>
              <w:jc w:val="both"/>
              <w:rPr>
                <w:iCs/>
                <w:sz w:val="20"/>
              </w:rPr>
            </w:pPr>
            <w:r w:rsidRPr="00731707">
              <w:rPr>
                <w:iCs/>
                <w:sz w:val="20"/>
              </w:rPr>
              <w:t xml:space="preserve">Data </w:t>
            </w:r>
            <w:r w:rsidRPr="00731707">
              <w:rPr>
                <w:i/>
                <w:iCs/>
                <w:sz w:val="20"/>
              </w:rPr>
              <w:t>outlier</w:t>
            </w:r>
          </w:p>
        </w:tc>
        <w:tc>
          <w:tcPr>
            <w:tcW w:w="1656" w:type="dxa"/>
            <w:tcBorders>
              <w:top w:val="nil"/>
              <w:bottom w:val="single" w:sz="4" w:space="0" w:color="000000"/>
            </w:tcBorders>
          </w:tcPr>
          <w:p w:rsidR="00731707" w:rsidRPr="00731707" w:rsidRDefault="00731707" w:rsidP="00E1620B">
            <w:pPr>
              <w:pStyle w:val="Default"/>
              <w:jc w:val="center"/>
              <w:rPr>
                <w:iCs/>
                <w:sz w:val="20"/>
              </w:rPr>
            </w:pPr>
            <w:r w:rsidRPr="00731707">
              <w:rPr>
                <w:iCs/>
                <w:sz w:val="20"/>
              </w:rPr>
              <w:t>(11)</w:t>
            </w:r>
          </w:p>
        </w:tc>
      </w:tr>
      <w:tr w:rsidR="00731707" w:rsidRPr="00731707" w:rsidTr="00731707">
        <w:trPr>
          <w:jc w:val="center"/>
        </w:trPr>
        <w:tc>
          <w:tcPr>
            <w:tcW w:w="6498" w:type="dxa"/>
            <w:gridSpan w:val="2"/>
            <w:tcBorders>
              <w:bottom w:val="nil"/>
            </w:tcBorders>
          </w:tcPr>
          <w:p w:rsidR="00731707" w:rsidRPr="00731707" w:rsidRDefault="00731707" w:rsidP="00E1620B">
            <w:pPr>
              <w:pStyle w:val="Default"/>
              <w:jc w:val="both"/>
              <w:rPr>
                <w:b/>
                <w:iCs/>
                <w:sz w:val="20"/>
              </w:rPr>
            </w:pPr>
            <w:r w:rsidRPr="00731707">
              <w:rPr>
                <w:b/>
                <w:iCs/>
                <w:sz w:val="20"/>
              </w:rPr>
              <w:t>Perusahaan yang terpilih sebagai sampel</w:t>
            </w:r>
          </w:p>
        </w:tc>
        <w:tc>
          <w:tcPr>
            <w:tcW w:w="1656" w:type="dxa"/>
            <w:tcBorders>
              <w:bottom w:val="nil"/>
            </w:tcBorders>
          </w:tcPr>
          <w:p w:rsidR="00731707" w:rsidRPr="00731707" w:rsidRDefault="00731707" w:rsidP="00E1620B">
            <w:pPr>
              <w:pStyle w:val="Default"/>
              <w:jc w:val="center"/>
              <w:rPr>
                <w:b/>
                <w:iCs/>
                <w:sz w:val="20"/>
              </w:rPr>
            </w:pPr>
            <w:r w:rsidRPr="00731707">
              <w:rPr>
                <w:b/>
                <w:iCs/>
                <w:sz w:val="20"/>
              </w:rPr>
              <w:t>20</w:t>
            </w:r>
          </w:p>
        </w:tc>
      </w:tr>
      <w:tr w:rsidR="00731707" w:rsidRPr="00731707" w:rsidTr="00731707">
        <w:trPr>
          <w:jc w:val="center"/>
        </w:trPr>
        <w:tc>
          <w:tcPr>
            <w:tcW w:w="6498" w:type="dxa"/>
            <w:gridSpan w:val="2"/>
            <w:tcBorders>
              <w:top w:val="nil"/>
            </w:tcBorders>
          </w:tcPr>
          <w:p w:rsidR="00731707" w:rsidRPr="00731707" w:rsidRDefault="00731707" w:rsidP="00E1620B">
            <w:pPr>
              <w:pStyle w:val="Default"/>
              <w:jc w:val="both"/>
              <w:rPr>
                <w:b/>
                <w:iCs/>
                <w:sz w:val="20"/>
              </w:rPr>
            </w:pPr>
            <w:r w:rsidRPr="00731707">
              <w:rPr>
                <w:b/>
                <w:iCs/>
                <w:sz w:val="20"/>
              </w:rPr>
              <w:t>Jumlah sampel amatan selama periode 2011-2014</w:t>
            </w:r>
          </w:p>
        </w:tc>
        <w:tc>
          <w:tcPr>
            <w:tcW w:w="1656" w:type="dxa"/>
            <w:tcBorders>
              <w:top w:val="nil"/>
            </w:tcBorders>
          </w:tcPr>
          <w:p w:rsidR="00731707" w:rsidRPr="00731707" w:rsidRDefault="00731707" w:rsidP="00E1620B">
            <w:pPr>
              <w:pStyle w:val="Default"/>
              <w:jc w:val="center"/>
              <w:rPr>
                <w:b/>
                <w:iCs/>
                <w:sz w:val="20"/>
              </w:rPr>
            </w:pPr>
            <w:r w:rsidRPr="00731707">
              <w:rPr>
                <w:b/>
                <w:iCs/>
                <w:sz w:val="20"/>
              </w:rPr>
              <w:t>80</w:t>
            </w:r>
          </w:p>
        </w:tc>
      </w:tr>
    </w:tbl>
    <w:p w:rsidR="00731707" w:rsidRPr="00244C6C" w:rsidRDefault="00731707" w:rsidP="00731707">
      <w:pPr>
        <w:pStyle w:val="Default"/>
        <w:spacing w:line="480" w:lineRule="auto"/>
        <w:jc w:val="both"/>
        <w:rPr>
          <w:iCs/>
          <w:sz w:val="20"/>
          <w:szCs w:val="20"/>
        </w:rPr>
      </w:pPr>
      <w:r w:rsidRPr="00244C6C">
        <w:rPr>
          <w:i/>
          <w:iCs/>
          <w:sz w:val="20"/>
          <w:szCs w:val="20"/>
        </w:rPr>
        <w:t>Sumber</w:t>
      </w:r>
      <w:r w:rsidRPr="00244C6C">
        <w:rPr>
          <w:iCs/>
          <w:sz w:val="20"/>
          <w:szCs w:val="20"/>
        </w:rPr>
        <w:t xml:space="preserve">: </w:t>
      </w:r>
      <w:hyperlink r:id="rId11" w:history="1">
        <w:r w:rsidRPr="00244C6C">
          <w:rPr>
            <w:rStyle w:val="Hyperlink"/>
            <w:iCs/>
            <w:color w:val="000000" w:themeColor="text1"/>
            <w:sz w:val="20"/>
            <w:szCs w:val="20"/>
          </w:rPr>
          <w:t>www.idx.co.id</w:t>
        </w:r>
      </w:hyperlink>
      <w:r w:rsidRPr="00244C6C">
        <w:rPr>
          <w:iCs/>
          <w:sz w:val="20"/>
          <w:szCs w:val="20"/>
        </w:rPr>
        <w:t xml:space="preserve"> (Data diolah, 2015)</w:t>
      </w:r>
    </w:p>
    <w:p w:rsidR="00F74F9A" w:rsidRDefault="00731707" w:rsidP="00F74F9A">
      <w:pPr>
        <w:pStyle w:val="Default"/>
        <w:spacing w:line="480" w:lineRule="auto"/>
        <w:ind w:firstLine="567"/>
        <w:jc w:val="both"/>
      </w:pPr>
      <w:r w:rsidRPr="001D7ED1">
        <w:rPr>
          <w:iCs/>
        </w:rPr>
        <w:t>Berdasarkan hasil se</w:t>
      </w:r>
      <w:r>
        <w:rPr>
          <w:iCs/>
        </w:rPr>
        <w:t xml:space="preserve">leksi sampel, maka dalam penelitian ini diperoleh 20 </w:t>
      </w:r>
      <w:r w:rsidRPr="001D7ED1">
        <w:rPr>
          <w:iCs/>
        </w:rPr>
        <w:t>sampel perusah</w:t>
      </w:r>
      <w:r>
        <w:rPr>
          <w:iCs/>
        </w:rPr>
        <w:t>aan dengan total sampel selama 4 (empat) tahun penelitian yaitu 80 amatan.</w:t>
      </w:r>
      <w:r w:rsidR="00F74F9A">
        <w:rPr>
          <w:iCs/>
        </w:rPr>
        <w:t xml:space="preserve"> </w:t>
      </w:r>
      <w:r w:rsidR="001C4756" w:rsidRPr="001C4756">
        <w:t xml:space="preserve">Metode pengumpulan data yang digunakan dalam penelitian ini adalah metode observasi non partisipan yaitu peneliti dapat melakukan observasi sebagai pengumpulan data tanpa ikut terlibat dan hanya sebagai pengamat independen (Sugiyono, 2013:204). </w:t>
      </w:r>
    </w:p>
    <w:p w:rsidR="00483F69" w:rsidRPr="00F74F9A" w:rsidRDefault="001C4756" w:rsidP="00F74F9A">
      <w:pPr>
        <w:pStyle w:val="Default"/>
        <w:spacing w:line="480" w:lineRule="auto"/>
        <w:ind w:firstLine="567"/>
        <w:jc w:val="both"/>
        <w:rPr>
          <w:iCs/>
        </w:rPr>
      </w:pPr>
      <w:r w:rsidRPr="001C4756">
        <w:t xml:space="preserve">Data yang digunakan berasal dari dokumen-dokumen yang sudah tersedia dengan cara mengunduh laporan keuangan dan laporan auditor independen pada perusahan sektor properti yang terdaftar di Bursa Efek Indonesia tahun 2011-2014 dengan mengakses situs resmi </w:t>
      </w:r>
      <w:hyperlink r:id="rId12" w:history="1">
        <w:r w:rsidRPr="001C4756">
          <w:rPr>
            <w:rStyle w:val="Hyperlink"/>
            <w:color w:val="000000" w:themeColor="text1"/>
            <w:u w:val="none"/>
          </w:rPr>
          <w:t>www.idx.co.id</w:t>
        </w:r>
      </w:hyperlink>
      <w:r w:rsidR="00F74F9A">
        <w:t xml:space="preserve">. </w:t>
      </w:r>
      <w:r w:rsidR="0084640E">
        <w:t xml:space="preserve">Alat analisis yang digunakan adalah </w:t>
      </w:r>
      <w:r w:rsidRPr="00DA1BF1">
        <w:rPr>
          <w:i/>
        </w:rPr>
        <w:t>Moderated Regression Analysis</w:t>
      </w:r>
      <w:r w:rsidRPr="00A23017">
        <w:t xml:space="preserve"> (MRA)</w:t>
      </w:r>
      <w:r w:rsidR="0084640E">
        <w:t xml:space="preserve">. MRA </w:t>
      </w:r>
      <w:r>
        <w:t xml:space="preserve">merupakan aplikasi khusus regresi </w:t>
      </w:r>
      <w:r>
        <w:lastRenderedPageBreak/>
        <w:t>berganda linier dimana dalam persamaan regresinya mengandung unsur interaksi penelitian (perkalian dua atau lebih variabe</w:t>
      </w:r>
      <w:r w:rsidR="00483F69">
        <w:t>l independen).</w:t>
      </w:r>
    </w:p>
    <w:p w:rsidR="005A1635" w:rsidRDefault="005A1635" w:rsidP="00675287">
      <w:pPr>
        <w:spacing w:line="480" w:lineRule="auto"/>
        <w:jc w:val="both"/>
        <w:rPr>
          <w:rFonts w:ascii="Times New Roman" w:hAnsi="Times New Roman"/>
          <w:b/>
        </w:rPr>
      </w:pPr>
      <w:r w:rsidRPr="00BB4350">
        <w:rPr>
          <w:rFonts w:ascii="Times New Roman" w:hAnsi="Times New Roman"/>
          <w:b/>
        </w:rPr>
        <w:t>HASIL DAN PEMBAHASAN</w:t>
      </w:r>
    </w:p>
    <w:p w:rsidR="00C00380" w:rsidRDefault="00C00380" w:rsidP="00F74F9A">
      <w:pPr>
        <w:spacing w:line="480" w:lineRule="auto"/>
        <w:jc w:val="both"/>
        <w:rPr>
          <w:rFonts w:ascii="Times New Roman" w:eastAsiaTheme="minorEastAsia" w:hAnsi="Times New Roman"/>
          <w:lang w:eastAsia="ja-JP"/>
        </w:rPr>
      </w:pPr>
      <w:r w:rsidRPr="000A79D7">
        <w:rPr>
          <w:rFonts w:ascii="Times New Roman" w:eastAsiaTheme="minorEastAsia" w:hAnsi="Times New Roman"/>
          <w:lang w:eastAsia="ja-JP"/>
        </w:rPr>
        <w:t>Analisis statistik deskriptif digunakan untuk melihat karakteristik data-data yang digunakan dalam penelitian ini serta menjelaskan penyebaran data variabel-variabel tersebut dengan melihat nilai minimum, nilai maksimum, nilai rata-rata, dan standar deviasi dari masing-masing variabel terikat dan variabel bebas. Statistik deskriptif dari seluruh variabel yang digunakan dalam</w:t>
      </w:r>
      <w:r>
        <w:rPr>
          <w:rFonts w:ascii="Times New Roman" w:eastAsiaTheme="minorEastAsia" w:hAnsi="Times New Roman"/>
          <w:lang w:eastAsia="ja-JP"/>
        </w:rPr>
        <w:t xml:space="preserve"> penelitian ini disajikan pada t</w:t>
      </w:r>
      <w:r w:rsidRPr="000A79D7">
        <w:rPr>
          <w:rFonts w:ascii="Times New Roman" w:eastAsiaTheme="minorEastAsia" w:hAnsi="Times New Roman"/>
          <w:lang w:eastAsia="ja-JP"/>
        </w:rPr>
        <w:t xml:space="preserve">abel </w:t>
      </w:r>
      <w:r>
        <w:rPr>
          <w:rFonts w:ascii="Times New Roman" w:eastAsiaTheme="minorEastAsia" w:hAnsi="Times New Roman"/>
          <w:lang w:eastAsia="ja-JP"/>
        </w:rPr>
        <w:t>2.</w:t>
      </w:r>
    </w:p>
    <w:p w:rsidR="00C00380" w:rsidRDefault="00C00380" w:rsidP="00C00380">
      <w:pPr>
        <w:jc w:val="center"/>
        <w:rPr>
          <w:rFonts w:ascii="Times New Roman" w:eastAsiaTheme="minorEastAsia" w:hAnsi="Times New Roman"/>
          <w:b/>
          <w:bCs/>
          <w:color w:val="000000"/>
          <w:szCs w:val="18"/>
          <w:lang w:eastAsia="ja-JP"/>
        </w:rPr>
      </w:pPr>
      <w:r w:rsidRPr="00034BBC">
        <w:rPr>
          <w:rFonts w:ascii="Times New Roman" w:eastAsiaTheme="minorEastAsia" w:hAnsi="Times New Roman"/>
          <w:b/>
          <w:bCs/>
          <w:color w:val="000000"/>
          <w:szCs w:val="18"/>
          <w:lang w:eastAsia="ja-JP"/>
        </w:rPr>
        <w:t xml:space="preserve">Tabel </w:t>
      </w:r>
      <w:r>
        <w:rPr>
          <w:rFonts w:ascii="Times New Roman" w:eastAsiaTheme="minorEastAsia" w:hAnsi="Times New Roman"/>
          <w:b/>
          <w:bCs/>
          <w:color w:val="000000"/>
          <w:szCs w:val="18"/>
          <w:lang w:eastAsia="ja-JP"/>
        </w:rPr>
        <w:t>2.</w:t>
      </w:r>
    </w:p>
    <w:p w:rsidR="00244C6C" w:rsidRPr="00F74F9A" w:rsidRDefault="00C00380" w:rsidP="00F74F9A">
      <w:pPr>
        <w:jc w:val="center"/>
        <w:rPr>
          <w:rFonts w:ascii="Times New Roman" w:eastAsiaTheme="minorEastAsia" w:hAnsi="Times New Roman"/>
          <w:b/>
          <w:bCs/>
          <w:color w:val="000000"/>
          <w:szCs w:val="18"/>
          <w:lang w:eastAsia="ja-JP"/>
        </w:rPr>
      </w:pPr>
      <w:r w:rsidRPr="00034BBC">
        <w:rPr>
          <w:rFonts w:ascii="Times New Roman" w:eastAsiaTheme="minorEastAsia" w:hAnsi="Times New Roman"/>
          <w:b/>
          <w:bCs/>
          <w:color w:val="000000"/>
          <w:szCs w:val="18"/>
          <w:lang w:eastAsia="ja-JP"/>
        </w:rPr>
        <w:t>Statistik Deskriptif</w:t>
      </w:r>
    </w:p>
    <w:tbl>
      <w:tblPr>
        <w:tblW w:w="7772"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000"/>
      </w:tblPr>
      <w:tblGrid>
        <w:gridCol w:w="1818"/>
        <w:gridCol w:w="851"/>
        <w:gridCol w:w="1276"/>
        <w:gridCol w:w="1275"/>
        <w:gridCol w:w="1134"/>
        <w:gridCol w:w="1418"/>
      </w:tblGrid>
      <w:tr w:rsidR="00C00380" w:rsidRPr="00C00380" w:rsidTr="00C00380">
        <w:trPr>
          <w:cantSplit/>
          <w:tblHeader/>
          <w:jc w:val="center"/>
        </w:trPr>
        <w:tc>
          <w:tcPr>
            <w:tcW w:w="1818" w:type="dxa"/>
            <w:tcBorders>
              <w:bottom w:val="single" w:sz="4" w:space="0" w:color="000000"/>
            </w:tcBorders>
            <w:shd w:val="clear" w:color="auto" w:fill="FFFFFF"/>
            <w:vAlign w:val="center"/>
          </w:tcPr>
          <w:p w:rsidR="00C00380" w:rsidRPr="00C00380" w:rsidRDefault="00C00380" w:rsidP="00C00380">
            <w:pPr>
              <w:autoSpaceDE w:val="0"/>
              <w:autoSpaceDN w:val="0"/>
              <w:adjustRightInd w:val="0"/>
              <w:ind w:left="450"/>
              <w:rPr>
                <w:rFonts w:ascii="Times New Roman" w:eastAsiaTheme="minorEastAsia" w:hAnsi="Times New Roman"/>
                <w:b/>
                <w:sz w:val="20"/>
                <w:lang w:eastAsia="ja-JP"/>
              </w:rPr>
            </w:pPr>
            <w:r w:rsidRPr="00C00380">
              <w:rPr>
                <w:rFonts w:ascii="Times New Roman" w:eastAsiaTheme="minorEastAsia" w:hAnsi="Times New Roman"/>
                <w:b/>
                <w:sz w:val="20"/>
                <w:lang w:eastAsia="ja-JP"/>
              </w:rPr>
              <w:t xml:space="preserve">Variabel   </w:t>
            </w:r>
          </w:p>
        </w:tc>
        <w:tc>
          <w:tcPr>
            <w:tcW w:w="851" w:type="dxa"/>
            <w:tcBorders>
              <w:bottom w:val="single" w:sz="4" w:space="0" w:color="000000"/>
            </w:tcBorders>
            <w:shd w:val="clear" w:color="auto" w:fill="FFFFFF"/>
            <w:vAlign w:val="bottom"/>
          </w:tcPr>
          <w:p w:rsidR="00C00380" w:rsidRPr="00C00380" w:rsidRDefault="00C00380" w:rsidP="00C00380">
            <w:pPr>
              <w:autoSpaceDE w:val="0"/>
              <w:autoSpaceDN w:val="0"/>
              <w:adjustRightInd w:val="0"/>
              <w:ind w:left="60" w:right="60"/>
              <w:jc w:val="center"/>
              <w:rPr>
                <w:rFonts w:ascii="Times New Roman" w:eastAsiaTheme="minorEastAsia" w:hAnsi="Times New Roman"/>
                <w:b/>
                <w:color w:val="000000"/>
                <w:sz w:val="20"/>
                <w:lang w:eastAsia="ja-JP"/>
              </w:rPr>
            </w:pPr>
            <w:r w:rsidRPr="00C00380">
              <w:rPr>
                <w:rFonts w:ascii="Times New Roman" w:eastAsiaTheme="minorEastAsia" w:hAnsi="Times New Roman"/>
                <w:b/>
                <w:color w:val="000000"/>
                <w:sz w:val="20"/>
                <w:lang w:eastAsia="ja-JP"/>
              </w:rPr>
              <w:t>N</w:t>
            </w:r>
          </w:p>
        </w:tc>
        <w:tc>
          <w:tcPr>
            <w:tcW w:w="1276" w:type="dxa"/>
            <w:tcBorders>
              <w:bottom w:val="single" w:sz="4" w:space="0" w:color="000000"/>
            </w:tcBorders>
            <w:shd w:val="clear" w:color="auto" w:fill="FFFFFF"/>
            <w:vAlign w:val="bottom"/>
          </w:tcPr>
          <w:p w:rsidR="00C00380" w:rsidRPr="00C00380" w:rsidRDefault="00C00380" w:rsidP="00C00380">
            <w:pPr>
              <w:autoSpaceDE w:val="0"/>
              <w:autoSpaceDN w:val="0"/>
              <w:adjustRightInd w:val="0"/>
              <w:ind w:left="60" w:right="60"/>
              <w:jc w:val="center"/>
              <w:rPr>
                <w:rFonts w:ascii="Times New Roman" w:eastAsiaTheme="minorEastAsia" w:hAnsi="Times New Roman"/>
                <w:b/>
                <w:color w:val="000000"/>
                <w:sz w:val="20"/>
                <w:lang w:eastAsia="ja-JP"/>
              </w:rPr>
            </w:pPr>
            <w:r w:rsidRPr="00C00380">
              <w:rPr>
                <w:rFonts w:ascii="Times New Roman" w:eastAsiaTheme="minorEastAsia" w:hAnsi="Times New Roman"/>
                <w:b/>
                <w:color w:val="000000"/>
                <w:sz w:val="20"/>
                <w:lang w:eastAsia="ja-JP"/>
              </w:rPr>
              <w:t>Minimum</w:t>
            </w:r>
          </w:p>
        </w:tc>
        <w:tc>
          <w:tcPr>
            <w:tcW w:w="1275" w:type="dxa"/>
            <w:tcBorders>
              <w:bottom w:val="single" w:sz="4" w:space="0" w:color="000000"/>
            </w:tcBorders>
            <w:shd w:val="clear" w:color="auto" w:fill="FFFFFF"/>
            <w:vAlign w:val="bottom"/>
          </w:tcPr>
          <w:p w:rsidR="00C00380" w:rsidRPr="00C00380" w:rsidRDefault="00C00380" w:rsidP="00C00380">
            <w:pPr>
              <w:autoSpaceDE w:val="0"/>
              <w:autoSpaceDN w:val="0"/>
              <w:adjustRightInd w:val="0"/>
              <w:ind w:left="60" w:right="60"/>
              <w:jc w:val="center"/>
              <w:rPr>
                <w:rFonts w:ascii="Times New Roman" w:eastAsiaTheme="minorEastAsia" w:hAnsi="Times New Roman"/>
                <w:b/>
                <w:color w:val="000000"/>
                <w:sz w:val="20"/>
                <w:lang w:eastAsia="ja-JP"/>
              </w:rPr>
            </w:pPr>
            <w:r w:rsidRPr="00C00380">
              <w:rPr>
                <w:rFonts w:ascii="Times New Roman" w:eastAsiaTheme="minorEastAsia" w:hAnsi="Times New Roman"/>
                <w:b/>
                <w:color w:val="000000"/>
                <w:sz w:val="20"/>
                <w:lang w:eastAsia="ja-JP"/>
              </w:rPr>
              <w:t>Maximum</w:t>
            </w:r>
          </w:p>
        </w:tc>
        <w:tc>
          <w:tcPr>
            <w:tcW w:w="1134" w:type="dxa"/>
            <w:tcBorders>
              <w:bottom w:val="single" w:sz="4" w:space="0" w:color="000000"/>
            </w:tcBorders>
            <w:shd w:val="clear" w:color="auto" w:fill="FFFFFF"/>
            <w:vAlign w:val="bottom"/>
          </w:tcPr>
          <w:p w:rsidR="00C00380" w:rsidRPr="00C00380" w:rsidRDefault="00C00380" w:rsidP="00C00380">
            <w:pPr>
              <w:autoSpaceDE w:val="0"/>
              <w:autoSpaceDN w:val="0"/>
              <w:adjustRightInd w:val="0"/>
              <w:ind w:left="60" w:right="60"/>
              <w:jc w:val="center"/>
              <w:rPr>
                <w:rFonts w:ascii="Times New Roman" w:eastAsiaTheme="minorEastAsia" w:hAnsi="Times New Roman"/>
                <w:b/>
                <w:color w:val="000000"/>
                <w:sz w:val="20"/>
                <w:lang w:eastAsia="ja-JP"/>
              </w:rPr>
            </w:pPr>
            <w:r w:rsidRPr="00C00380">
              <w:rPr>
                <w:rFonts w:ascii="Times New Roman" w:eastAsiaTheme="minorEastAsia" w:hAnsi="Times New Roman"/>
                <w:b/>
                <w:color w:val="000000"/>
                <w:sz w:val="20"/>
                <w:lang w:eastAsia="ja-JP"/>
              </w:rPr>
              <w:t>Mean</w:t>
            </w:r>
          </w:p>
        </w:tc>
        <w:tc>
          <w:tcPr>
            <w:tcW w:w="1418" w:type="dxa"/>
            <w:tcBorders>
              <w:bottom w:val="single" w:sz="4" w:space="0" w:color="000000"/>
            </w:tcBorders>
            <w:shd w:val="clear" w:color="auto" w:fill="FFFFFF"/>
            <w:vAlign w:val="bottom"/>
          </w:tcPr>
          <w:p w:rsidR="00C00380" w:rsidRPr="00C00380" w:rsidRDefault="00C00380" w:rsidP="00C00380">
            <w:pPr>
              <w:autoSpaceDE w:val="0"/>
              <w:autoSpaceDN w:val="0"/>
              <w:adjustRightInd w:val="0"/>
              <w:ind w:left="60" w:right="60"/>
              <w:jc w:val="center"/>
              <w:rPr>
                <w:rFonts w:ascii="Times New Roman" w:eastAsiaTheme="minorEastAsia" w:hAnsi="Times New Roman"/>
                <w:b/>
                <w:color w:val="000000"/>
                <w:sz w:val="20"/>
                <w:lang w:eastAsia="ja-JP"/>
              </w:rPr>
            </w:pPr>
            <w:r w:rsidRPr="00C00380">
              <w:rPr>
                <w:rFonts w:ascii="Times New Roman" w:eastAsiaTheme="minorEastAsia" w:hAnsi="Times New Roman"/>
                <w:b/>
                <w:color w:val="000000"/>
                <w:sz w:val="20"/>
                <w:lang w:eastAsia="ja-JP"/>
              </w:rPr>
              <w:t>Std. Deviation</w:t>
            </w:r>
          </w:p>
        </w:tc>
      </w:tr>
      <w:tr w:rsidR="00C00380" w:rsidRPr="00C00380" w:rsidTr="00C00380">
        <w:trPr>
          <w:cantSplit/>
          <w:tblHeader/>
          <w:jc w:val="center"/>
        </w:trPr>
        <w:tc>
          <w:tcPr>
            <w:tcW w:w="1818" w:type="dxa"/>
            <w:tcBorders>
              <w:bottom w:val="nil"/>
            </w:tcBorders>
            <w:shd w:val="clear" w:color="auto" w:fill="FFFFFF"/>
          </w:tcPr>
          <w:p w:rsidR="00C00380" w:rsidRPr="00C00380" w:rsidRDefault="00C00380" w:rsidP="00C00380">
            <w:pPr>
              <w:autoSpaceDE w:val="0"/>
              <w:autoSpaceDN w:val="0"/>
              <w:adjustRightInd w:val="0"/>
              <w:ind w:right="60"/>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 xml:space="preserve">Audit Delay </w:t>
            </w:r>
          </w:p>
        </w:tc>
        <w:tc>
          <w:tcPr>
            <w:tcW w:w="851" w:type="dxa"/>
            <w:tcBorders>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80</w:t>
            </w:r>
          </w:p>
        </w:tc>
        <w:tc>
          <w:tcPr>
            <w:tcW w:w="1276" w:type="dxa"/>
            <w:tcBorders>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64</w:t>
            </w:r>
          </w:p>
        </w:tc>
        <w:tc>
          <w:tcPr>
            <w:tcW w:w="1275" w:type="dxa"/>
            <w:tcBorders>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106</w:t>
            </w:r>
          </w:p>
        </w:tc>
        <w:tc>
          <w:tcPr>
            <w:tcW w:w="1134" w:type="dxa"/>
            <w:tcBorders>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81,28</w:t>
            </w:r>
          </w:p>
        </w:tc>
        <w:tc>
          <w:tcPr>
            <w:tcW w:w="1418" w:type="dxa"/>
            <w:tcBorders>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6,892</w:t>
            </w:r>
          </w:p>
        </w:tc>
      </w:tr>
      <w:tr w:rsidR="00C00380" w:rsidRPr="00C00380" w:rsidTr="00C00380">
        <w:trPr>
          <w:cantSplit/>
          <w:tblHeader/>
          <w:jc w:val="center"/>
        </w:trPr>
        <w:tc>
          <w:tcPr>
            <w:tcW w:w="1818" w:type="dxa"/>
            <w:tcBorders>
              <w:top w:val="nil"/>
              <w:bottom w:val="nil"/>
            </w:tcBorders>
            <w:shd w:val="clear" w:color="auto" w:fill="FFFFFF"/>
          </w:tcPr>
          <w:p w:rsidR="00C00380" w:rsidRPr="00C00380" w:rsidRDefault="00C00380" w:rsidP="00C00380">
            <w:pPr>
              <w:autoSpaceDE w:val="0"/>
              <w:autoSpaceDN w:val="0"/>
              <w:adjustRightInd w:val="0"/>
              <w:ind w:right="60"/>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Profitabilitas</w:t>
            </w:r>
          </w:p>
        </w:tc>
        <w:tc>
          <w:tcPr>
            <w:tcW w:w="851"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80</w:t>
            </w:r>
          </w:p>
        </w:tc>
        <w:tc>
          <w:tcPr>
            <w:tcW w:w="1276"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hAnsi="Times New Roman"/>
                <w:color w:val="000000"/>
                <w:sz w:val="20"/>
              </w:rPr>
              <w:t>-0,0699</w:t>
            </w:r>
          </w:p>
        </w:tc>
        <w:tc>
          <w:tcPr>
            <w:tcW w:w="1275"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hAnsi="Times New Roman"/>
                <w:color w:val="000000"/>
                <w:sz w:val="20"/>
              </w:rPr>
              <w:t>0,2217</w:t>
            </w:r>
          </w:p>
        </w:tc>
        <w:tc>
          <w:tcPr>
            <w:tcW w:w="1134"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hAnsi="Times New Roman"/>
                <w:color w:val="000000"/>
                <w:sz w:val="20"/>
              </w:rPr>
              <w:t>0,061795</w:t>
            </w:r>
          </w:p>
        </w:tc>
        <w:tc>
          <w:tcPr>
            <w:tcW w:w="1418"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hAnsi="Times New Roman"/>
                <w:color w:val="000000"/>
                <w:sz w:val="20"/>
              </w:rPr>
              <w:t>0,0477260</w:t>
            </w:r>
          </w:p>
        </w:tc>
      </w:tr>
      <w:tr w:rsidR="00C00380" w:rsidRPr="00C00380" w:rsidTr="00C00380">
        <w:trPr>
          <w:cantSplit/>
          <w:tblHeader/>
          <w:jc w:val="center"/>
        </w:trPr>
        <w:tc>
          <w:tcPr>
            <w:tcW w:w="1818" w:type="dxa"/>
            <w:tcBorders>
              <w:top w:val="nil"/>
              <w:bottom w:val="nil"/>
            </w:tcBorders>
            <w:shd w:val="clear" w:color="auto" w:fill="FFFFFF"/>
          </w:tcPr>
          <w:p w:rsidR="00C00380" w:rsidRPr="00C00380" w:rsidRDefault="00C00380" w:rsidP="00C00380">
            <w:pPr>
              <w:autoSpaceDE w:val="0"/>
              <w:autoSpaceDN w:val="0"/>
              <w:adjustRightInd w:val="0"/>
              <w:ind w:right="60"/>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Solvabilitas</w:t>
            </w:r>
          </w:p>
        </w:tc>
        <w:tc>
          <w:tcPr>
            <w:tcW w:w="851"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80</w:t>
            </w:r>
          </w:p>
        </w:tc>
        <w:tc>
          <w:tcPr>
            <w:tcW w:w="1276"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hAnsi="Times New Roman"/>
                <w:color w:val="000000"/>
                <w:sz w:val="20"/>
              </w:rPr>
              <w:t>0,1315</w:t>
            </w:r>
          </w:p>
        </w:tc>
        <w:tc>
          <w:tcPr>
            <w:tcW w:w="1275"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hAnsi="Times New Roman"/>
                <w:color w:val="000000"/>
                <w:sz w:val="20"/>
              </w:rPr>
              <w:t>0,6942</w:t>
            </w:r>
          </w:p>
        </w:tc>
        <w:tc>
          <w:tcPr>
            <w:tcW w:w="1134"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hAnsi="Times New Roman"/>
                <w:color w:val="000000"/>
                <w:sz w:val="20"/>
              </w:rPr>
              <w:t>0,419368</w:t>
            </w:r>
          </w:p>
        </w:tc>
        <w:tc>
          <w:tcPr>
            <w:tcW w:w="1418"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hAnsi="Times New Roman"/>
                <w:color w:val="000000"/>
                <w:sz w:val="20"/>
              </w:rPr>
              <w:t>0,1419171</w:t>
            </w:r>
          </w:p>
        </w:tc>
      </w:tr>
      <w:tr w:rsidR="00C00380" w:rsidRPr="00C00380" w:rsidTr="00C00380">
        <w:trPr>
          <w:cantSplit/>
          <w:tblHeader/>
          <w:jc w:val="center"/>
        </w:trPr>
        <w:tc>
          <w:tcPr>
            <w:tcW w:w="1818" w:type="dxa"/>
            <w:tcBorders>
              <w:top w:val="nil"/>
              <w:bottom w:val="nil"/>
            </w:tcBorders>
            <w:shd w:val="clear" w:color="auto" w:fill="FFFFFF"/>
          </w:tcPr>
          <w:p w:rsidR="00C00380" w:rsidRPr="00C00380" w:rsidRDefault="00C00380" w:rsidP="00C00380">
            <w:pPr>
              <w:autoSpaceDE w:val="0"/>
              <w:autoSpaceDN w:val="0"/>
              <w:adjustRightInd w:val="0"/>
              <w:ind w:right="60"/>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Reputasi KAP</w:t>
            </w:r>
          </w:p>
        </w:tc>
        <w:tc>
          <w:tcPr>
            <w:tcW w:w="851"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80</w:t>
            </w:r>
          </w:p>
        </w:tc>
        <w:tc>
          <w:tcPr>
            <w:tcW w:w="1276"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0</w:t>
            </w:r>
          </w:p>
        </w:tc>
        <w:tc>
          <w:tcPr>
            <w:tcW w:w="1275"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1</w:t>
            </w:r>
          </w:p>
        </w:tc>
        <w:tc>
          <w:tcPr>
            <w:tcW w:w="1134"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0,40</w:t>
            </w:r>
          </w:p>
        </w:tc>
        <w:tc>
          <w:tcPr>
            <w:tcW w:w="1418" w:type="dxa"/>
            <w:tcBorders>
              <w:top w:val="nil"/>
              <w:bottom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0,493</w:t>
            </w:r>
          </w:p>
        </w:tc>
      </w:tr>
      <w:tr w:rsidR="00C00380" w:rsidRPr="00C00380" w:rsidTr="00C00380">
        <w:trPr>
          <w:cantSplit/>
          <w:jc w:val="center"/>
        </w:trPr>
        <w:tc>
          <w:tcPr>
            <w:tcW w:w="1818" w:type="dxa"/>
            <w:tcBorders>
              <w:top w:val="nil"/>
            </w:tcBorders>
            <w:shd w:val="clear" w:color="auto" w:fill="FFFFFF"/>
          </w:tcPr>
          <w:p w:rsidR="00C00380" w:rsidRPr="00C00380" w:rsidRDefault="00C00380" w:rsidP="00C00380">
            <w:pPr>
              <w:autoSpaceDE w:val="0"/>
              <w:autoSpaceDN w:val="0"/>
              <w:adjustRightInd w:val="0"/>
              <w:ind w:right="60"/>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Valid N(listwise)</w:t>
            </w:r>
          </w:p>
        </w:tc>
        <w:tc>
          <w:tcPr>
            <w:tcW w:w="851" w:type="dxa"/>
            <w:tcBorders>
              <w:top w:val="nil"/>
            </w:tcBorders>
            <w:shd w:val="clear" w:color="auto" w:fill="FFFFFF"/>
          </w:tcPr>
          <w:p w:rsidR="00C00380" w:rsidRPr="00C00380" w:rsidRDefault="00C00380" w:rsidP="00C00380">
            <w:pPr>
              <w:autoSpaceDE w:val="0"/>
              <w:autoSpaceDN w:val="0"/>
              <w:adjustRightInd w:val="0"/>
              <w:ind w:left="60" w:right="60"/>
              <w:jc w:val="right"/>
              <w:rPr>
                <w:rFonts w:ascii="Times New Roman" w:eastAsiaTheme="minorEastAsia" w:hAnsi="Times New Roman"/>
                <w:color w:val="000000"/>
                <w:sz w:val="20"/>
                <w:lang w:eastAsia="ja-JP"/>
              </w:rPr>
            </w:pPr>
            <w:r w:rsidRPr="00C00380">
              <w:rPr>
                <w:rFonts w:ascii="Times New Roman" w:eastAsiaTheme="minorEastAsia" w:hAnsi="Times New Roman"/>
                <w:color w:val="000000"/>
                <w:sz w:val="20"/>
                <w:lang w:eastAsia="ja-JP"/>
              </w:rPr>
              <w:t>80</w:t>
            </w:r>
          </w:p>
        </w:tc>
        <w:tc>
          <w:tcPr>
            <w:tcW w:w="1276" w:type="dxa"/>
            <w:tcBorders>
              <w:top w:val="nil"/>
            </w:tcBorders>
            <w:shd w:val="clear" w:color="auto" w:fill="FFFFFF"/>
            <w:vAlign w:val="center"/>
          </w:tcPr>
          <w:p w:rsidR="00C00380" w:rsidRPr="00C00380" w:rsidRDefault="00C00380" w:rsidP="00C00380">
            <w:pPr>
              <w:autoSpaceDE w:val="0"/>
              <w:autoSpaceDN w:val="0"/>
              <w:adjustRightInd w:val="0"/>
              <w:jc w:val="center"/>
              <w:rPr>
                <w:rFonts w:ascii="Times New Roman" w:eastAsiaTheme="minorEastAsia" w:hAnsi="Times New Roman"/>
                <w:sz w:val="20"/>
                <w:lang w:eastAsia="ja-JP"/>
              </w:rPr>
            </w:pPr>
          </w:p>
        </w:tc>
        <w:tc>
          <w:tcPr>
            <w:tcW w:w="1275" w:type="dxa"/>
            <w:tcBorders>
              <w:top w:val="nil"/>
            </w:tcBorders>
            <w:shd w:val="clear" w:color="auto" w:fill="FFFFFF"/>
            <w:vAlign w:val="center"/>
          </w:tcPr>
          <w:p w:rsidR="00C00380" w:rsidRPr="00C00380" w:rsidRDefault="00C00380" w:rsidP="00C00380">
            <w:pPr>
              <w:autoSpaceDE w:val="0"/>
              <w:autoSpaceDN w:val="0"/>
              <w:adjustRightInd w:val="0"/>
              <w:jc w:val="center"/>
              <w:rPr>
                <w:rFonts w:ascii="Times New Roman" w:eastAsiaTheme="minorEastAsia" w:hAnsi="Times New Roman"/>
                <w:sz w:val="20"/>
                <w:lang w:eastAsia="ja-JP"/>
              </w:rPr>
            </w:pPr>
          </w:p>
        </w:tc>
        <w:tc>
          <w:tcPr>
            <w:tcW w:w="1134" w:type="dxa"/>
            <w:tcBorders>
              <w:top w:val="nil"/>
            </w:tcBorders>
            <w:shd w:val="clear" w:color="auto" w:fill="FFFFFF"/>
            <w:vAlign w:val="center"/>
          </w:tcPr>
          <w:p w:rsidR="00C00380" w:rsidRPr="00C00380" w:rsidRDefault="00C00380" w:rsidP="00C00380">
            <w:pPr>
              <w:autoSpaceDE w:val="0"/>
              <w:autoSpaceDN w:val="0"/>
              <w:adjustRightInd w:val="0"/>
              <w:jc w:val="center"/>
              <w:rPr>
                <w:rFonts w:ascii="Times New Roman" w:eastAsiaTheme="minorEastAsia" w:hAnsi="Times New Roman"/>
                <w:sz w:val="20"/>
                <w:lang w:eastAsia="ja-JP"/>
              </w:rPr>
            </w:pPr>
          </w:p>
        </w:tc>
        <w:tc>
          <w:tcPr>
            <w:tcW w:w="1418" w:type="dxa"/>
            <w:tcBorders>
              <w:top w:val="nil"/>
            </w:tcBorders>
            <w:shd w:val="clear" w:color="auto" w:fill="FFFFFF"/>
            <w:vAlign w:val="center"/>
          </w:tcPr>
          <w:p w:rsidR="00C00380" w:rsidRPr="00C00380" w:rsidRDefault="00C00380" w:rsidP="00C00380">
            <w:pPr>
              <w:autoSpaceDE w:val="0"/>
              <w:autoSpaceDN w:val="0"/>
              <w:adjustRightInd w:val="0"/>
              <w:jc w:val="center"/>
              <w:rPr>
                <w:rFonts w:ascii="Times New Roman" w:eastAsiaTheme="minorEastAsia" w:hAnsi="Times New Roman"/>
                <w:sz w:val="20"/>
                <w:lang w:eastAsia="ja-JP"/>
              </w:rPr>
            </w:pPr>
          </w:p>
        </w:tc>
      </w:tr>
    </w:tbl>
    <w:p w:rsidR="00C00380" w:rsidRPr="00244C6C" w:rsidRDefault="00C00380" w:rsidP="00C00380">
      <w:pPr>
        <w:tabs>
          <w:tab w:val="left" w:pos="1080"/>
        </w:tabs>
        <w:spacing w:line="480" w:lineRule="auto"/>
        <w:ind w:left="284"/>
        <w:jc w:val="both"/>
        <w:rPr>
          <w:rFonts w:ascii="Times New Roman" w:hAnsi="Times New Roman"/>
          <w:sz w:val="20"/>
          <w:szCs w:val="20"/>
        </w:rPr>
      </w:pPr>
      <w:r w:rsidRPr="00244C6C">
        <w:rPr>
          <w:rFonts w:ascii="Times New Roman" w:hAnsi="Times New Roman"/>
          <w:i/>
          <w:sz w:val="20"/>
          <w:szCs w:val="20"/>
        </w:rPr>
        <w:t>Sumber</w:t>
      </w:r>
      <w:r w:rsidRPr="00244C6C">
        <w:rPr>
          <w:rFonts w:ascii="Times New Roman" w:hAnsi="Times New Roman"/>
          <w:sz w:val="20"/>
          <w:szCs w:val="20"/>
        </w:rPr>
        <w:t>: Data Sekunder diolah, (2015)</w:t>
      </w:r>
    </w:p>
    <w:p w:rsidR="00C00380" w:rsidRDefault="00C00380" w:rsidP="00C00380">
      <w:pPr>
        <w:spacing w:line="480" w:lineRule="auto"/>
        <w:ind w:firstLine="567"/>
        <w:jc w:val="both"/>
        <w:rPr>
          <w:rFonts w:ascii="Times New Roman" w:eastAsiaTheme="minorEastAsia" w:hAnsi="Times New Roman"/>
          <w:lang w:eastAsia="ja-JP"/>
        </w:rPr>
      </w:pPr>
      <w:r w:rsidRPr="00CE76D9">
        <w:rPr>
          <w:rFonts w:ascii="Times New Roman" w:eastAsiaTheme="minorEastAsia" w:hAnsi="Times New Roman"/>
          <w:lang w:eastAsia="ja-JP"/>
        </w:rPr>
        <w:t>Da</w:t>
      </w:r>
      <w:r>
        <w:rPr>
          <w:rFonts w:ascii="Times New Roman" w:eastAsiaTheme="minorEastAsia" w:hAnsi="Times New Roman"/>
          <w:lang w:eastAsia="ja-JP"/>
        </w:rPr>
        <w:t>ri hasil yang disajikan pada t</w:t>
      </w:r>
      <w:r w:rsidRPr="00CE76D9">
        <w:rPr>
          <w:rFonts w:ascii="Times New Roman" w:eastAsiaTheme="minorEastAsia" w:hAnsi="Times New Roman"/>
          <w:lang w:eastAsia="ja-JP"/>
        </w:rPr>
        <w:t>a</w:t>
      </w:r>
      <w:r>
        <w:rPr>
          <w:rFonts w:ascii="Times New Roman" w:eastAsiaTheme="minorEastAsia" w:hAnsi="Times New Roman"/>
          <w:lang w:eastAsia="ja-JP"/>
        </w:rPr>
        <w:t xml:space="preserve">bel 2 menunjukkan bahwa rata-rata audit delay yang terjadi adalah sebesar 81,28 hari dengan standar deviasi sebesar 689,2%. </w:t>
      </w:r>
      <w:r w:rsidRPr="00A91D96">
        <w:rPr>
          <w:rFonts w:ascii="Times New Roman" w:hAnsi="Times New Roman"/>
        </w:rPr>
        <w:t xml:space="preserve">Tampak bahwa rata-rata </w:t>
      </w:r>
      <w:r w:rsidRPr="00B56835">
        <w:rPr>
          <w:rFonts w:ascii="Times New Roman" w:hAnsi="Times New Roman"/>
          <w:iCs/>
        </w:rPr>
        <w:t>audit delay</w:t>
      </w:r>
      <w:r w:rsidRPr="00A91D96">
        <w:rPr>
          <w:rFonts w:ascii="Times New Roman" w:hAnsi="Times New Roman"/>
        </w:rPr>
        <w:t>perusahaa</w:t>
      </w:r>
      <w:r>
        <w:rPr>
          <w:rFonts w:ascii="Times New Roman" w:hAnsi="Times New Roman"/>
        </w:rPr>
        <w:t xml:space="preserve">n </w:t>
      </w:r>
      <w:r w:rsidRPr="00A91D96">
        <w:rPr>
          <w:rFonts w:ascii="Times New Roman" w:hAnsi="Times New Roman"/>
        </w:rPr>
        <w:t xml:space="preserve">masih di bawah 90 hari kalender yang merupakan batas yang ditetapkan oleh BAPPEPAM dalam penyampaian laporan keuangan atau tanggal 31 Maret pada tiap tahunnya. Terlihat juga bahwa terdapat perusahaan yang terlambat karena mempunyai </w:t>
      </w:r>
      <w:r w:rsidRPr="00B56835">
        <w:rPr>
          <w:rFonts w:ascii="Times New Roman" w:hAnsi="Times New Roman"/>
          <w:iCs/>
        </w:rPr>
        <w:t>audit delay</w:t>
      </w:r>
      <w:r w:rsidRPr="00A91D96">
        <w:rPr>
          <w:rFonts w:ascii="Times New Roman" w:hAnsi="Times New Roman"/>
        </w:rPr>
        <w:t>di atas 90 hari.</w:t>
      </w:r>
      <w:r>
        <w:rPr>
          <w:rFonts w:ascii="Times New Roman" w:eastAsiaTheme="minorEastAsia" w:hAnsi="Times New Roman"/>
          <w:lang w:eastAsia="ja-JP"/>
        </w:rPr>
        <w:t xml:space="preserve"> Audit delay minimum yang terjadi adalah 64 hari yaitu pada </w:t>
      </w:r>
      <w:r w:rsidRPr="00B02B88">
        <w:rPr>
          <w:rFonts w:ascii="Times New Roman" w:eastAsiaTheme="minorEastAsia" w:hAnsi="Times New Roman"/>
          <w:lang w:eastAsia="ja-JP"/>
        </w:rPr>
        <w:t>PT Alam Sutera Realty Tbk</w:t>
      </w:r>
      <w:r>
        <w:rPr>
          <w:rFonts w:ascii="Times New Roman" w:eastAsiaTheme="minorEastAsia" w:hAnsi="Times New Roman"/>
          <w:lang w:eastAsia="ja-JP"/>
        </w:rPr>
        <w:t xml:space="preserve"> pada tahun 2011. Maksimum 106 hari pada </w:t>
      </w:r>
      <w:r w:rsidRPr="00C302F3">
        <w:rPr>
          <w:rFonts w:ascii="Times New Roman" w:eastAsiaTheme="minorEastAsia" w:hAnsi="Times New Roman"/>
          <w:lang w:eastAsia="ja-JP"/>
        </w:rPr>
        <w:t>PT Bumi Citra Permai Tbk</w:t>
      </w:r>
      <w:r>
        <w:rPr>
          <w:rFonts w:ascii="Times New Roman" w:eastAsiaTheme="minorEastAsia" w:hAnsi="Times New Roman"/>
          <w:lang w:eastAsia="ja-JP"/>
        </w:rPr>
        <w:t xml:space="preserve"> pada tahun 2011</w:t>
      </w:r>
    </w:p>
    <w:p w:rsidR="00C00380" w:rsidRPr="00CE76D9" w:rsidRDefault="00C00380" w:rsidP="00C00380">
      <w:pPr>
        <w:spacing w:line="480" w:lineRule="auto"/>
        <w:ind w:firstLine="567"/>
        <w:jc w:val="both"/>
        <w:rPr>
          <w:rFonts w:ascii="Times New Roman" w:eastAsiaTheme="minorEastAsia" w:hAnsi="Times New Roman"/>
          <w:lang w:eastAsia="ja-JP"/>
        </w:rPr>
      </w:pPr>
      <w:r>
        <w:rPr>
          <w:rFonts w:ascii="Times New Roman" w:eastAsiaTheme="minorEastAsia" w:hAnsi="Times New Roman"/>
          <w:lang w:eastAsia="ja-JP"/>
        </w:rPr>
        <w:lastRenderedPageBreak/>
        <w:t xml:space="preserve">Variabel profitabilitas </w:t>
      </w:r>
      <w:r w:rsidRPr="00CE76D9">
        <w:rPr>
          <w:rFonts w:ascii="Times New Roman" w:eastAsiaTheme="minorEastAsia" w:hAnsi="Times New Roman"/>
          <w:lang w:eastAsia="ja-JP"/>
        </w:rPr>
        <w:t>m</w:t>
      </w:r>
      <w:r>
        <w:rPr>
          <w:rFonts w:ascii="Times New Roman" w:eastAsiaTheme="minorEastAsia" w:hAnsi="Times New Roman"/>
          <w:lang w:eastAsia="ja-JP"/>
        </w:rPr>
        <w:t xml:space="preserve">emiliki nilai rata-rata sebesar </w:t>
      </w:r>
      <w:r>
        <w:rPr>
          <w:rFonts w:ascii="Times New Roman" w:hAnsi="Times New Roman"/>
          <w:color w:val="000000"/>
        </w:rPr>
        <w:t xml:space="preserve">6,1795% </w:t>
      </w:r>
      <w:r w:rsidRPr="00CE76D9">
        <w:rPr>
          <w:rFonts w:ascii="Times New Roman" w:eastAsiaTheme="minorEastAsia" w:hAnsi="Times New Roman"/>
          <w:lang w:eastAsia="ja-JP"/>
        </w:rPr>
        <w:t xml:space="preserve">. Hal ini menunjukkan bahwa dalam setiap satuan aset yang dimiliki perusahaan </w:t>
      </w:r>
      <w:r>
        <w:rPr>
          <w:rFonts w:ascii="Times New Roman" w:eastAsiaTheme="minorEastAsia" w:hAnsi="Times New Roman"/>
          <w:lang w:eastAsia="ja-JP"/>
        </w:rPr>
        <w:t>dapat menghasilkan laba sebesar 6,1795%</w:t>
      </w:r>
      <w:r w:rsidRPr="00CE76D9">
        <w:rPr>
          <w:rFonts w:ascii="Times New Roman" w:eastAsiaTheme="minorEastAsia" w:hAnsi="Times New Roman"/>
          <w:lang w:eastAsia="ja-JP"/>
        </w:rPr>
        <w:t>. Nilai minimum variabel ini sebesar</w:t>
      </w:r>
      <w:r>
        <w:rPr>
          <w:rFonts w:ascii="Times New Roman" w:eastAsiaTheme="minorEastAsia" w:hAnsi="Times New Roman"/>
          <w:lang w:eastAsia="ja-JP"/>
        </w:rPr>
        <w:t xml:space="preserve"> -6,99% yang dimiliki oleh perusahaan </w:t>
      </w:r>
      <w:r w:rsidRPr="0037127F">
        <w:rPr>
          <w:rFonts w:ascii="Times New Roman" w:eastAsiaTheme="minorEastAsia" w:hAnsi="Times New Roman"/>
          <w:lang w:eastAsia="ja-JP"/>
        </w:rPr>
        <w:t>PT Bukit Darmo Property Tbk</w:t>
      </w:r>
      <w:r w:rsidRPr="00CE76D9">
        <w:rPr>
          <w:rFonts w:ascii="Times New Roman" w:eastAsiaTheme="minorEastAsia" w:hAnsi="Times New Roman"/>
          <w:lang w:eastAsia="ja-JP"/>
        </w:rPr>
        <w:t>dan nilai maksimum sebesar</w:t>
      </w:r>
      <w:r>
        <w:rPr>
          <w:rFonts w:ascii="Times New Roman" w:hAnsi="Times New Roman"/>
          <w:color w:val="000000"/>
        </w:rPr>
        <w:t xml:space="preserve">22,17% yang dimiliki oleh perusahaan </w:t>
      </w:r>
      <w:r w:rsidRPr="0037127F">
        <w:rPr>
          <w:rFonts w:ascii="Times New Roman" w:hAnsi="Times New Roman"/>
          <w:color w:val="000000"/>
        </w:rPr>
        <w:t>PT Bekasi Fajar Industrial Estate Tbk</w:t>
      </w:r>
      <w:r w:rsidRPr="00CE76D9">
        <w:rPr>
          <w:rFonts w:ascii="Times New Roman" w:eastAsiaTheme="minorEastAsia" w:hAnsi="Times New Roman"/>
          <w:lang w:eastAsia="ja-JP"/>
        </w:rPr>
        <w:t>. Nilai minimum variabel ini menunjukkan tanda negatif yang berarti bahwa masih ada perusahaan sampel yang mengalami k</w:t>
      </w:r>
      <w:r>
        <w:rPr>
          <w:rFonts w:ascii="Times New Roman" w:eastAsiaTheme="minorEastAsia" w:hAnsi="Times New Roman"/>
          <w:lang w:eastAsia="ja-JP"/>
        </w:rPr>
        <w:t xml:space="preserve">erugian, dengan standar deviasi  </w:t>
      </w:r>
      <w:r>
        <w:rPr>
          <w:rFonts w:ascii="Times New Roman" w:hAnsi="Times New Roman"/>
          <w:color w:val="000000"/>
        </w:rPr>
        <w:t>4,77260%</w:t>
      </w:r>
    </w:p>
    <w:p w:rsidR="00C00380" w:rsidRDefault="00C00380" w:rsidP="00C00380">
      <w:pPr>
        <w:spacing w:line="480" w:lineRule="auto"/>
        <w:ind w:firstLine="567"/>
        <w:jc w:val="both"/>
        <w:rPr>
          <w:rFonts w:ascii="Times New Roman" w:eastAsiaTheme="minorEastAsia" w:hAnsi="Times New Roman"/>
          <w:color w:val="000000" w:themeColor="text1"/>
          <w:lang w:eastAsia="ja-JP"/>
        </w:rPr>
      </w:pPr>
      <w:r>
        <w:rPr>
          <w:rFonts w:ascii="Times New Roman" w:eastAsiaTheme="minorEastAsia" w:hAnsi="Times New Roman"/>
          <w:lang w:eastAsia="ja-JP"/>
        </w:rPr>
        <w:t xml:space="preserve">Variabel solvabilitas </w:t>
      </w:r>
      <w:r w:rsidRPr="00CE76D9">
        <w:rPr>
          <w:rFonts w:ascii="Times New Roman" w:eastAsiaTheme="minorEastAsia" w:hAnsi="Times New Roman"/>
          <w:lang w:eastAsia="ja-JP"/>
        </w:rPr>
        <w:t>memiliki nilai minimum sebesar</w:t>
      </w:r>
      <w:r>
        <w:rPr>
          <w:rFonts w:ascii="Times New Roman" w:eastAsiaTheme="minorEastAsia" w:hAnsi="Times New Roman"/>
          <w:lang w:eastAsia="ja-JP"/>
        </w:rPr>
        <w:t xml:space="preserve"> 13,15% yang terjadi pada perusahaan </w:t>
      </w:r>
      <w:r w:rsidRPr="00A6012C">
        <w:rPr>
          <w:rFonts w:ascii="Times New Roman" w:eastAsiaTheme="minorEastAsia" w:hAnsi="Times New Roman"/>
          <w:lang w:eastAsia="ja-JP"/>
        </w:rPr>
        <w:t>PT Sentul City Tbk</w:t>
      </w:r>
      <w:r w:rsidRPr="00CE76D9">
        <w:rPr>
          <w:rFonts w:ascii="Times New Roman" w:eastAsiaTheme="minorEastAsia" w:hAnsi="Times New Roman"/>
          <w:lang w:eastAsia="ja-JP"/>
        </w:rPr>
        <w:t>dan nilai maksimum sebesar</w:t>
      </w:r>
      <w:r>
        <w:rPr>
          <w:rFonts w:ascii="Times New Roman" w:hAnsi="Times New Roman"/>
          <w:color w:val="000000"/>
        </w:rPr>
        <w:t xml:space="preserve">69,42% yang dimiliki oleh perusahaan </w:t>
      </w:r>
      <w:r w:rsidRPr="005F4E72">
        <w:rPr>
          <w:rFonts w:ascii="Times New Roman" w:hAnsi="Times New Roman"/>
          <w:color w:val="000000"/>
        </w:rPr>
        <w:t>PT Summarecon Agung Tbk</w:t>
      </w:r>
      <w:r w:rsidRPr="00CE76D9">
        <w:rPr>
          <w:rFonts w:ascii="Times New Roman" w:eastAsiaTheme="minorEastAsia" w:hAnsi="Times New Roman"/>
          <w:lang w:eastAsia="ja-JP"/>
        </w:rPr>
        <w:t xml:space="preserve">. </w:t>
      </w:r>
      <w:r w:rsidRPr="0037127F">
        <w:rPr>
          <w:rFonts w:ascii="Times New Roman" w:eastAsiaTheme="minorEastAsia" w:hAnsi="Times New Roman"/>
          <w:color w:val="000000" w:themeColor="text1"/>
          <w:lang w:eastAsia="ja-JP"/>
        </w:rPr>
        <w:t>Nilai rata-rata variabel solvabilitassebesar</w:t>
      </w:r>
      <w:r>
        <w:rPr>
          <w:rFonts w:ascii="Times New Roman" w:eastAsiaTheme="minorEastAsia" w:hAnsi="Times New Roman"/>
          <w:color w:val="000000" w:themeColor="text1"/>
          <w:lang w:eastAsia="ja-JP"/>
        </w:rPr>
        <w:t xml:space="preserve"> 41,9368% </w:t>
      </w:r>
      <w:r w:rsidRPr="0037127F">
        <w:rPr>
          <w:rFonts w:ascii="Times New Roman" w:eastAsiaTheme="minorEastAsia" w:hAnsi="Times New Roman"/>
          <w:color w:val="000000" w:themeColor="text1"/>
          <w:lang w:eastAsia="ja-JP"/>
        </w:rPr>
        <w:t>menunjukkan bahwa hampir setengah dari aset yang dimiliki perusahaan sampel dibiayai melalui hutang</w:t>
      </w:r>
      <w:r>
        <w:rPr>
          <w:rFonts w:ascii="Times New Roman" w:eastAsiaTheme="minorEastAsia" w:hAnsi="Times New Roman"/>
          <w:color w:val="000000" w:themeColor="text1"/>
          <w:lang w:eastAsia="ja-JP"/>
        </w:rPr>
        <w:t xml:space="preserve">, dengan standar deviasi </w:t>
      </w:r>
      <w:r>
        <w:rPr>
          <w:rFonts w:ascii="Times New Roman" w:hAnsi="Times New Roman"/>
          <w:color w:val="000000"/>
        </w:rPr>
        <w:t>14,19171%</w:t>
      </w:r>
      <w:r w:rsidRPr="0037127F">
        <w:rPr>
          <w:rFonts w:ascii="Times New Roman" w:eastAsiaTheme="minorEastAsia" w:hAnsi="Times New Roman"/>
          <w:color w:val="000000" w:themeColor="text1"/>
          <w:lang w:eastAsia="ja-JP"/>
        </w:rPr>
        <w:t>.</w:t>
      </w:r>
    </w:p>
    <w:p w:rsidR="00C00380" w:rsidRPr="00D31CBE" w:rsidRDefault="00C00380" w:rsidP="00C00380">
      <w:pPr>
        <w:spacing w:line="480" w:lineRule="auto"/>
        <w:ind w:firstLine="567"/>
        <w:jc w:val="both"/>
        <w:rPr>
          <w:rFonts w:ascii="Times New Roman" w:eastAsiaTheme="minorEastAsia" w:hAnsi="Times New Roman"/>
          <w:i/>
          <w:lang w:eastAsia="ja-JP"/>
        </w:rPr>
      </w:pPr>
      <w:r>
        <w:rPr>
          <w:rFonts w:ascii="Times New Roman" w:eastAsiaTheme="minorEastAsia" w:hAnsi="Times New Roman"/>
          <w:lang w:eastAsia="ja-JP"/>
        </w:rPr>
        <w:t xml:space="preserve">Variabel reputasi kantor akuntan publik memiliki nilai minimum sebesar 0 dan nilai maksimum sebesar 1. Memiliki </w:t>
      </w:r>
      <w:r w:rsidRPr="00CE76D9">
        <w:rPr>
          <w:rFonts w:ascii="Times New Roman" w:eastAsiaTheme="minorEastAsia" w:hAnsi="Times New Roman"/>
          <w:lang w:eastAsia="ja-JP"/>
        </w:rPr>
        <w:t>ni</w:t>
      </w:r>
      <w:r>
        <w:rPr>
          <w:rFonts w:ascii="Times New Roman" w:eastAsiaTheme="minorEastAsia" w:hAnsi="Times New Roman"/>
          <w:lang w:eastAsia="ja-JP"/>
        </w:rPr>
        <w:t xml:space="preserve">lai rata-rata sebesar 40% </w:t>
      </w:r>
      <w:r>
        <w:rPr>
          <w:rFonts w:ascii="Times New Roman" w:hAnsi="Times New Roman"/>
          <w:color w:val="000000"/>
        </w:rPr>
        <w:t xml:space="preserve">dengan standar deviasi </w:t>
      </w:r>
      <w:r>
        <w:rPr>
          <w:rFonts w:ascii="Times New Roman" w:eastAsiaTheme="minorEastAsia" w:hAnsi="Times New Roman"/>
          <w:color w:val="000000"/>
          <w:lang w:eastAsia="ja-JP"/>
        </w:rPr>
        <w:t xml:space="preserve">49,3% </w:t>
      </w:r>
      <w:r>
        <w:rPr>
          <w:rFonts w:ascii="Times New Roman" w:eastAsiaTheme="minorEastAsia" w:hAnsi="Times New Roman"/>
          <w:lang w:eastAsia="ja-JP"/>
        </w:rPr>
        <w:t>dari total 80</w:t>
      </w:r>
      <w:r w:rsidRPr="00CE76D9">
        <w:rPr>
          <w:rFonts w:ascii="Times New Roman" w:eastAsiaTheme="minorEastAsia" w:hAnsi="Times New Roman"/>
          <w:lang w:eastAsia="ja-JP"/>
        </w:rPr>
        <w:t xml:space="preserve"> observasi. Hal ini </w:t>
      </w:r>
      <w:r>
        <w:rPr>
          <w:rFonts w:ascii="Times New Roman" w:eastAsiaTheme="minorEastAsia" w:hAnsi="Times New Roman"/>
          <w:lang w:eastAsia="ja-JP"/>
        </w:rPr>
        <w:t>menunjukkan bahwa sebanyak 40</w:t>
      </w:r>
      <w:r w:rsidRPr="00CE76D9">
        <w:rPr>
          <w:rFonts w:ascii="Times New Roman" w:eastAsiaTheme="minorEastAsia" w:hAnsi="Times New Roman"/>
          <w:lang w:eastAsia="ja-JP"/>
        </w:rPr>
        <w:t xml:space="preserve">% observasi penelitian diaudit oleh kantor akuntan publik yang berafiliasi dengan </w:t>
      </w:r>
      <w:r>
        <w:rPr>
          <w:rFonts w:ascii="Times New Roman" w:eastAsiaTheme="minorEastAsia" w:hAnsi="Times New Roman"/>
          <w:i/>
          <w:lang w:eastAsia="ja-JP"/>
        </w:rPr>
        <w:t>Big Four.</w:t>
      </w:r>
    </w:p>
    <w:p w:rsidR="008516BE" w:rsidRDefault="008516BE" w:rsidP="008516BE">
      <w:pPr>
        <w:pStyle w:val="Default"/>
        <w:spacing w:line="480" w:lineRule="auto"/>
        <w:ind w:firstLine="567"/>
        <w:jc w:val="both"/>
        <w:rPr>
          <w:iCs/>
        </w:rPr>
      </w:pPr>
      <w:r w:rsidRPr="00BC3430">
        <w:rPr>
          <w:iCs/>
        </w:rPr>
        <w:t xml:space="preserve">Salah satu cara dalam pengujian moderasi adalah menggunakan </w:t>
      </w:r>
      <w:r>
        <w:rPr>
          <w:i/>
          <w:iCs/>
        </w:rPr>
        <w:t xml:space="preserve">Moderated Regression </w:t>
      </w:r>
      <w:r w:rsidRPr="00BC3430">
        <w:rPr>
          <w:i/>
          <w:iCs/>
        </w:rPr>
        <w:t xml:space="preserve">Analysis </w:t>
      </w:r>
      <w:r w:rsidRPr="00BC3430">
        <w:rPr>
          <w:iCs/>
        </w:rPr>
        <w:t xml:space="preserve">(MRA). MRA menggunakan pendekatan analitik yang mempertahankan integritas sampel dan memberikan dasar untuk mengontrol pengaruh variabel moderator. Langkah sebelum mengolah data adalah menetapkan </w:t>
      </w:r>
      <w:r w:rsidRPr="00BC3430">
        <w:rPr>
          <w:iCs/>
        </w:rPr>
        <w:lastRenderedPageBreak/>
        <w:t>variabel-variabel yang diperkirakan dapat mempengaruhi variabel terikat</w:t>
      </w:r>
      <w:r>
        <w:rPr>
          <w:iCs/>
        </w:rPr>
        <w:t xml:space="preserve">. </w:t>
      </w:r>
      <w:r w:rsidRPr="00551AD6">
        <w:rPr>
          <w:iCs/>
        </w:rPr>
        <w:t>Hasil dari analisis regresi moder</w:t>
      </w:r>
      <w:r>
        <w:rPr>
          <w:iCs/>
        </w:rPr>
        <w:t>asi dapat dilihat pada tabel 3.</w:t>
      </w:r>
    </w:p>
    <w:p w:rsidR="008516BE" w:rsidRDefault="008516BE" w:rsidP="008516BE">
      <w:pPr>
        <w:pStyle w:val="Default"/>
        <w:jc w:val="center"/>
        <w:rPr>
          <w:b/>
          <w:iCs/>
        </w:rPr>
      </w:pPr>
      <w:r>
        <w:rPr>
          <w:b/>
          <w:iCs/>
        </w:rPr>
        <w:t>Tabel 3.</w:t>
      </w:r>
    </w:p>
    <w:p w:rsidR="00244C6C" w:rsidRDefault="008516BE" w:rsidP="00F74F9A">
      <w:pPr>
        <w:pStyle w:val="Default"/>
        <w:jc w:val="center"/>
        <w:rPr>
          <w:b/>
          <w:iCs/>
        </w:rPr>
      </w:pPr>
      <w:r>
        <w:rPr>
          <w:b/>
          <w:iCs/>
        </w:rPr>
        <w:t xml:space="preserve">Hasil Pengujian </w:t>
      </w:r>
      <w:r w:rsidRPr="00B86307">
        <w:rPr>
          <w:b/>
          <w:i/>
          <w:iCs/>
        </w:rPr>
        <w:t>Moderated Regression Analysis</w:t>
      </w:r>
      <w:r w:rsidRPr="00B86307">
        <w:rPr>
          <w:b/>
          <w:iCs/>
        </w:rPr>
        <w:t xml:space="preserve"> (MRA</w:t>
      </w:r>
      <w:r>
        <w:rPr>
          <w:b/>
          <w:iCs/>
        </w:rPr>
        <w:t>)</w:t>
      </w:r>
    </w:p>
    <w:tbl>
      <w:tblPr>
        <w:tblStyle w:val="TableGrid"/>
        <w:tblW w:w="8136" w:type="dxa"/>
        <w:jc w:val="center"/>
        <w:tblBorders>
          <w:left w:val="none" w:sz="0" w:space="0" w:color="auto"/>
          <w:right w:val="none" w:sz="0" w:space="0" w:color="auto"/>
          <w:insideV w:val="none" w:sz="0" w:space="0" w:color="auto"/>
        </w:tblBorders>
        <w:tblLayout w:type="fixed"/>
        <w:tblLook w:val="04A0"/>
      </w:tblPr>
      <w:tblGrid>
        <w:gridCol w:w="1800"/>
        <w:gridCol w:w="1140"/>
        <w:gridCol w:w="1299"/>
        <w:gridCol w:w="1611"/>
        <w:gridCol w:w="1080"/>
        <w:gridCol w:w="1206"/>
      </w:tblGrid>
      <w:tr w:rsidR="008516BE" w:rsidRPr="008516BE" w:rsidTr="008516BE">
        <w:trPr>
          <w:jc w:val="center"/>
        </w:trPr>
        <w:tc>
          <w:tcPr>
            <w:tcW w:w="1800" w:type="dxa"/>
            <w:vMerge w:val="restart"/>
            <w:vAlign w:val="center"/>
          </w:tcPr>
          <w:p w:rsidR="008516BE" w:rsidRPr="008516BE" w:rsidRDefault="008516BE" w:rsidP="008516BE">
            <w:pPr>
              <w:pStyle w:val="Default"/>
              <w:jc w:val="center"/>
              <w:rPr>
                <w:b/>
                <w:iCs/>
                <w:sz w:val="20"/>
                <w:szCs w:val="20"/>
              </w:rPr>
            </w:pPr>
            <w:r w:rsidRPr="008516BE">
              <w:rPr>
                <w:b/>
                <w:iCs/>
                <w:sz w:val="20"/>
                <w:szCs w:val="20"/>
              </w:rPr>
              <w:t>Variabel</w:t>
            </w:r>
          </w:p>
        </w:tc>
        <w:tc>
          <w:tcPr>
            <w:tcW w:w="2439" w:type="dxa"/>
            <w:gridSpan w:val="2"/>
            <w:vAlign w:val="center"/>
          </w:tcPr>
          <w:p w:rsidR="008516BE" w:rsidRPr="008516BE" w:rsidRDefault="008516BE" w:rsidP="008516BE">
            <w:pPr>
              <w:pStyle w:val="Default"/>
              <w:jc w:val="center"/>
              <w:rPr>
                <w:b/>
                <w:iCs/>
                <w:sz w:val="20"/>
                <w:szCs w:val="20"/>
              </w:rPr>
            </w:pPr>
            <w:r w:rsidRPr="008516BE">
              <w:rPr>
                <w:b/>
                <w:iCs/>
                <w:sz w:val="20"/>
                <w:szCs w:val="20"/>
              </w:rPr>
              <w:t>Unstandardized Coefficients</w:t>
            </w:r>
          </w:p>
        </w:tc>
        <w:tc>
          <w:tcPr>
            <w:tcW w:w="1611" w:type="dxa"/>
            <w:vMerge w:val="restart"/>
            <w:vAlign w:val="center"/>
          </w:tcPr>
          <w:p w:rsidR="008516BE" w:rsidRPr="008516BE" w:rsidRDefault="008516BE" w:rsidP="008516BE">
            <w:pPr>
              <w:pStyle w:val="Default"/>
              <w:jc w:val="center"/>
              <w:rPr>
                <w:b/>
                <w:iCs/>
                <w:sz w:val="20"/>
                <w:szCs w:val="20"/>
              </w:rPr>
            </w:pPr>
            <w:r w:rsidRPr="008516BE">
              <w:rPr>
                <w:b/>
                <w:iCs/>
                <w:sz w:val="20"/>
                <w:szCs w:val="20"/>
              </w:rPr>
              <w:t>Standardized Coefficients</w:t>
            </w:r>
          </w:p>
        </w:tc>
        <w:tc>
          <w:tcPr>
            <w:tcW w:w="1080" w:type="dxa"/>
            <w:vMerge w:val="restart"/>
            <w:vAlign w:val="center"/>
          </w:tcPr>
          <w:p w:rsidR="008516BE" w:rsidRPr="008516BE" w:rsidRDefault="00F74F9A" w:rsidP="008516BE">
            <w:pPr>
              <w:pStyle w:val="Default"/>
              <w:jc w:val="center"/>
              <w:rPr>
                <w:b/>
                <w:iCs/>
                <w:sz w:val="20"/>
                <w:szCs w:val="20"/>
              </w:rPr>
            </w:pPr>
            <w:r w:rsidRPr="008516BE">
              <w:rPr>
                <w:b/>
                <w:iCs/>
                <w:sz w:val="20"/>
                <w:szCs w:val="20"/>
              </w:rPr>
              <w:t>T</w:t>
            </w:r>
          </w:p>
        </w:tc>
        <w:tc>
          <w:tcPr>
            <w:tcW w:w="1206" w:type="dxa"/>
            <w:vMerge w:val="restart"/>
            <w:vAlign w:val="center"/>
          </w:tcPr>
          <w:p w:rsidR="008516BE" w:rsidRPr="008516BE" w:rsidRDefault="008516BE" w:rsidP="008516BE">
            <w:pPr>
              <w:pStyle w:val="Default"/>
              <w:jc w:val="center"/>
              <w:rPr>
                <w:b/>
                <w:iCs/>
                <w:sz w:val="20"/>
                <w:szCs w:val="20"/>
              </w:rPr>
            </w:pPr>
            <w:r w:rsidRPr="008516BE">
              <w:rPr>
                <w:b/>
                <w:iCs/>
                <w:sz w:val="20"/>
                <w:szCs w:val="20"/>
              </w:rPr>
              <w:t>Sig.</w:t>
            </w:r>
          </w:p>
        </w:tc>
      </w:tr>
      <w:tr w:rsidR="008516BE" w:rsidRPr="008516BE" w:rsidTr="008516BE">
        <w:trPr>
          <w:jc w:val="center"/>
        </w:trPr>
        <w:tc>
          <w:tcPr>
            <w:tcW w:w="1800" w:type="dxa"/>
            <w:vMerge/>
            <w:tcBorders>
              <w:bottom w:val="single" w:sz="4" w:space="0" w:color="000000"/>
            </w:tcBorders>
            <w:vAlign w:val="center"/>
          </w:tcPr>
          <w:p w:rsidR="008516BE" w:rsidRPr="008516BE" w:rsidRDefault="008516BE" w:rsidP="008516BE">
            <w:pPr>
              <w:pStyle w:val="Default"/>
              <w:jc w:val="center"/>
              <w:rPr>
                <w:b/>
                <w:iCs/>
                <w:sz w:val="20"/>
                <w:szCs w:val="20"/>
              </w:rPr>
            </w:pPr>
          </w:p>
        </w:tc>
        <w:tc>
          <w:tcPr>
            <w:tcW w:w="1140" w:type="dxa"/>
            <w:tcBorders>
              <w:bottom w:val="single" w:sz="4" w:space="0" w:color="000000"/>
            </w:tcBorders>
            <w:vAlign w:val="center"/>
          </w:tcPr>
          <w:p w:rsidR="008516BE" w:rsidRPr="008516BE" w:rsidRDefault="008516BE" w:rsidP="008516BE">
            <w:pPr>
              <w:pStyle w:val="Default"/>
              <w:jc w:val="center"/>
              <w:rPr>
                <w:b/>
                <w:iCs/>
                <w:sz w:val="20"/>
                <w:szCs w:val="20"/>
              </w:rPr>
            </w:pPr>
            <w:r w:rsidRPr="008516BE">
              <w:rPr>
                <w:b/>
                <w:iCs/>
                <w:sz w:val="20"/>
                <w:szCs w:val="20"/>
              </w:rPr>
              <w:t>B</w:t>
            </w:r>
          </w:p>
        </w:tc>
        <w:tc>
          <w:tcPr>
            <w:tcW w:w="1299" w:type="dxa"/>
            <w:tcBorders>
              <w:bottom w:val="single" w:sz="4" w:space="0" w:color="000000"/>
            </w:tcBorders>
            <w:vAlign w:val="center"/>
          </w:tcPr>
          <w:p w:rsidR="008516BE" w:rsidRPr="008516BE" w:rsidRDefault="008516BE" w:rsidP="008516BE">
            <w:pPr>
              <w:pStyle w:val="Default"/>
              <w:jc w:val="center"/>
              <w:rPr>
                <w:b/>
                <w:iCs/>
                <w:sz w:val="20"/>
                <w:szCs w:val="20"/>
              </w:rPr>
            </w:pPr>
            <w:r w:rsidRPr="008516BE">
              <w:rPr>
                <w:b/>
                <w:iCs/>
                <w:sz w:val="20"/>
                <w:szCs w:val="20"/>
              </w:rPr>
              <w:t>Std. Error</w:t>
            </w:r>
          </w:p>
        </w:tc>
        <w:tc>
          <w:tcPr>
            <w:tcW w:w="1611" w:type="dxa"/>
            <w:vMerge/>
            <w:tcBorders>
              <w:bottom w:val="single" w:sz="4" w:space="0" w:color="000000"/>
            </w:tcBorders>
            <w:vAlign w:val="center"/>
          </w:tcPr>
          <w:p w:rsidR="008516BE" w:rsidRPr="008516BE" w:rsidRDefault="008516BE" w:rsidP="008516BE">
            <w:pPr>
              <w:pStyle w:val="Default"/>
              <w:jc w:val="center"/>
              <w:rPr>
                <w:b/>
                <w:iCs/>
                <w:sz w:val="20"/>
                <w:szCs w:val="20"/>
              </w:rPr>
            </w:pPr>
          </w:p>
        </w:tc>
        <w:tc>
          <w:tcPr>
            <w:tcW w:w="1080" w:type="dxa"/>
            <w:vMerge/>
            <w:tcBorders>
              <w:bottom w:val="single" w:sz="4" w:space="0" w:color="000000"/>
            </w:tcBorders>
            <w:vAlign w:val="center"/>
          </w:tcPr>
          <w:p w:rsidR="008516BE" w:rsidRPr="008516BE" w:rsidRDefault="008516BE" w:rsidP="008516BE">
            <w:pPr>
              <w:pStyle w:val="Default"/>
              <w:jc w:val="center"/>
              <w:rPr>
                <w:b/>
                <w:iCs/>
                <w:sz w:val="20"/>
                <w:szCs w:val="20"/>
              </w:rPr>
            </w:pPr>
          </w:p>
        </w:tc>
        <w:tc>
          <w:tcPr>
            <w:tcW w:w="1206" w:type="dxa"/>
            <w:vMerge/>
            <w:tcBorders>
              <w:bottom w:val="single" w:sz="4" w:space="0" w:color="000000"/>
            </w:tcBorders>
            <w:vAlign w:val="center"/>
          </w:tcPr>
          <w:p w:rsidR="008516BE" w:rsidRPr="008516BE" w:rsidRDefault="008516BE" w:rsidP="008516BE">
            <w:pPr>
              <w:pStyle w:val="Default"/>
              <w:jc w:val="center"/>
              <w:rPr>
                <w:b/>
                <w:iCs/>
                <w:sz w:val="20"/>
                <w:szCs w:val="20"/>
              </w:rPr>
            </w:pPr>
          </w:p>
        </w:tc>
      </w:tr>
      <w:tr w:rsidR="008516BE" w:rsidRPr="008516BE" w:rsidTr="008516BE">
        <w:trPr>
          <w:jc w:val="center"/>
        </w:trPr>
        <w:tc>
          <w:tcPr>
            <w:tcW w:w="1800" w:type="dxa"/>
            <w:tcBorders>
              <w:bottom w:val="nil"/>
            </w:tcBorders>
          </w:tcPr>
          <w:p w:rsidR="008516BE" w:rsidRPr="008516BE" w:rsidRDefault="008516BE" w:rsidP="008516BE">
            <w:pPr>
              <w:pStyle w:val="Default"/>
              <w:jc w:val="both"/>
              <w:rPr>
                <w:b/>
                <w:iCs/>
                <w:sz w:val="20"/>
                <w:szCs w:val="20"/>
              </w:rPr>
            </w:pPr>
            <w:r w:rsidRPr="008516BE">
              <w:rPr>
                <w:sz w:val="20"/>
                <w:szCs w:val="20"/>
              </w:rPr>
              <w:t>(</w:t>
            </w:r>
            <w:r w:rsidRPr="008516BE">
              <w:rPr>
                <w:i/>
                <w:sz w:val="20"/>
                <w:szCs w:val="20"/>
              </w:rPr>
              <w:t>Constant</w:t>
            </w:r>
            <w:r w:rsidRPr="008516BE">
              <w:rPr>
                <w:sz w:val="20"/>
                <w:szCs w:val="20"/>
              </w:rPr>
              <w:t>)</w:t>
            </w:r>
          </w:p>
        </w:tc>
        <w:tc>
          <w:tcPr>
            <w:tcW w:w="1140" w:type="dxa"/>
            <w:tcBorders>
              <w:bottom w:val="nil"/>
            </w:tcBorders>
          </w:tcPr>
          <w:p w:rsidR="008516BE" w:rsidRPr="008516BE" w:rsidRDefault="008516BE" w:rsidP="008516BE">
            <w:pPr>
              <w:pStyle w:val="Default"/>
              <w:jc w:val="both"/>
              <w:rPr>
                <w:iCs/>
                <w:sz w:val="20"/>
                <w:szCs w:val="20"/>
              </w:rPr>
            </w:pPr>
            <w:r w:rsidRPr="008516BE">
              <w:rPr>
                <w:iCs/>
                <w:sz w:val="20"/>
                <w:szCs w:val="20"/>
              </w:rPr>
              <w:t>91,305</w:t>
            </w:r>
          </w:p>
        </w:tc>
        <w:tc>
          <w:tcPr>
            <w:tcW w:w="1299" w:type="dxa"/>
            <w:tcBorders>
              <w:bottom w:val="nil"/>
            </w:tcBorders>
          </w:tcPr>
          <w:p w:rsidR="008516BE" w:rsidRPr="008516BE" w:rsidRDefault="008516BE" w:rsidP="008516BE">
            <w:pPr>
              <w:pStyle w:val="Default"/>
              <w:jc w:val="both"/>
              <w:rPr>
                <w:iCs/>
                <w:sz w:val="20"/>
                <w:szCs w:val="20"/>
              </w:rPr>
            </w:pPr>
            <w:r w:rsidRPr="008516BE">
              <w:rPr>
                <w:iCs/>
                <w:sz w:val="20"/>
                <w:szCs w:val="20"/>
              </w:rPr>
              <w:t>2,899</w:t>
            </w:r>
          </w:p>
        </w:tc>
        <w:tc>
          <w:tcPr>
            <w:tcW w:w="1611" w:type="dxa"/>
            <w:tcBorders>
              <w:bottom w:val="nil"/>
            </w:tcBorders>
          </w:tcPr>
          <w:p w:rsidR="008516BE" w:rsidRPr="008516BE" w:rsidRDefault="008516BE" w:rsidP="008516BE">
            <w:pPr>
              <w:pStyle w:val="Default"/>
              <w:jc w:val="both"/>
              <w:rPr>
                <w:b/>
                <w:iCs/>
                <w:sz w:val="20"/>
                <w:szCs w:val="20"/>
              </w:rPr>
            </w:pPr>
          </w:p>
        </w:tc>
        <w:tc>
          <w:tcPr>
            <w:tcW w:w="1080" w:type="dxa"/>
            <w:tcBorders>
              <w:bottom w:val="nil"/>
            </w:tcBorders>
          </w:tcPr>
          <w:p w:rsidR="008516BE" w:rsidRPr="008516BE" w:rsidRDefault="008516BE" w:rsidP="008516BE">
            <w:pPr>
              <w:pStyle w:val="Default"/>
              <w:jc w:val="both"/>
              <w:rPr>
                <w:iCs/>
                <w:sz w:val="20"/>
                <w:szCs w:val="20"/>
              </w:rPr>
            </w:pPr>
            <w:r w:rsidRPr="008516BE">
              <w:rPr>
                <w:iCs/>
                <w:sz w:val="20"/>
                <w:szCs w:val="20"/>
              </w:rPr>
              <w:t>31,492</w:t>
            </w:r>
          </w:p>
        </w:tc>
        <w:tc>
          <w:tcPr>
            <w:tcW w:w="1206" w:type="dxa"/>
            <w:tcBorders>
              <w:bottom w:val="nil"/>
            </w:tcBorders>
          </w:tcPr>
          <w:p w:rsidR="008516BE" w:rsidRPr="008516BE" w:rsidRDefault="008516BE" w:rsidP="008516BE">
            <w:pPr>
              <w:pStyle w:val="Default"/>
              <w:jc w:val="both"/>
              <w:rPr>
                <w:iCs/>
                <w:sz w:val="20"/>
                <w:szCs w:val="20"/>
              </w:rPr>
            </w:pPr>
            <w:r w:rsidRPr="008516BE">
              <w:rPr>
                <w:iCs/>
                <w:sz w:val="20"/>
                <w:szCs w:val="20"/>
              </w:rPr>
              <w:t>0,000</w:t>
            </w:r>
          </w:p>
        </w:tc>
      </w:tr>
      <w:tr w:rsidR="008516BE" w:rsidRPr="008516BE" w:rsidTr="008516BE">
        <w:trPr>
          <w:jc w:val="center"/>
        </w:trPr>
        <w:tc>
          <w:tcPr>
            <w:tcW w:w="1800"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ROA (X</w:t>
            </w:r>
            <w:r w:rsidRPr="008516BE">
              <w:rPr>
                <w:iCs/>
                <w:sz w:val="20"/>
                <w:szCs w:val="20"/>
                <w:vertAlign w:val="subscript"/>
              </w:rPr>
              <w:t>1</w:t>
            </w:r>
            <w:r w:rsidRPr="008516BE">
              <w:rPr>
                <w:iCs/>
                <w:sz w:val="20"/>
                <w:szCs w:val="20"/>
              </w:rPr>
              <w:t>)</w:t>
            </w:r>
          </w:p>
        </w:tc>
        <w:tc>
          <w:tcPr>
            <w:tcW w:w="1140"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-42,982</w:t>
            </w:r>
          </w:p>
        </w:tc>
        <w:tc>
          <w:tcPr>
            <w:tcW w:w="1299"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17,131</w:t>
            </w:r>
          </w:p>
        </w:tc>
        <w:tc>
          <w:tcPr>
            <w:tcW w:w="1611"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-0,298</w:t>
            </w:r>
          </w:p>
        </w:tc>
        <w:tc>
          <w:tcPr>
            <w:tcW w:w="1080"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-2,509</w:t>
            </w:r>
          </w:p>
        </w:tc>
        <w:tc>
          <w:tcPr>
            <w:tcW w:w="1206"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0,014</w:t>
            </w:r>
          </w:p>
        </w:tc>
      </w:tr>
      <w:tr w:rsidR="008516BE" w:rsidRPr="008516BE" w:rsidTr="008516BE">
        <w:trPr>
          <w:jc w:val="center"/>
        </w:trPr>
        <w:tc>
          <w:tcPr>
            <w:tcW w:w="1800"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LEV (X</w:t>
            </w:r>
            <w:r w:rsidRPr="008516BE">
              <w:rPr>
                <w:iCs/>
                <w:sz w:val="20"/>
                <w:szCs w:val="20"/>
                <w:vertAlign w:val="subscript"/>
              </w:rPr>
              <w:t>2</w:t>
            </w:r>
            <w:r w:rsidRPr="008516BE">
              <w:rPr>
                <w:iCs/>
                <w:sz w:val="20"/>
                <w:szCs w:val="20"/>
              </w:rPr>
              <w:t>)</w:t>
            </w:r>
          </w:p>
        </w:tc>
        <w:tc>
          <w:tcPr>
            <w:tcW w:w="1140"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-18,092</w:t>
            </w:r>
          </w:p>
        </w:tc>
        <w:tc>
          <w:tcPr>
            <w:tcW w:w="1299"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6,883</w:t>
            </w:r>
          </w:p>
        </w:tc>
        <w:tc>
          <w:tcPr>
            <w:tcW w:w="1611"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-0,373</w:t>
            </w:r>
          </w:p>
        </w:tc>
        <w:tc>
          <w:tcPr>
            <w:tcW w:w="1080"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-2,628</w:t>
            </w:r>
          </w:p>
        </w:tc>
        <w:tc>
          <w:tcPr>
            <w:tcW w:w="1206"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0,010</w:t>
            </w:r>
          </w:p>
        </w:tc>
      </w:tr>
      <w:tr w:rsidR="008516BE" w:rsidRPr="008516BE" w:rsidTr="008516BE">
        <w:trPr>
          <w:jc w:val="center"/>
        </w:trPr>
        <w:tc>
          <w:tcPr>
            <w:tcW w:w="1800"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KAP (X</w:t>
            </w:r>
            <w:r w:rsidRPr="008516BE">
              <w:rPr>
                <w:iCs/>
                <w:sz w:val="20"/>
                <w:szCs w:val="20"/>
                <w:vertAlign w:val="subscript"/>
              </w:rPr>
              <w:t>3</w:t>
            </w:r>
            <w:r w:rsidRPr="008516BE">
              <w:rPr>
                <w:iCs/>
                <w:sz w:val="20"/>
                <w:szCs w:val="20"/>
              </w:rPr>
              <w:t>)</w:t>
            </w:r>
          </w:p>
        </w:tc>
        <w:tc>
          <w:tcPr>
            <w:tcW w:w="1140"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-6,543</w:t>
            </w:r>
          </w:p>
        </w:tc>
        <w:tc>
          <w:tcPr>
            <w:tcW w:w="1299"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5,345</w:t>
            </w:r>
          </w:p>
        </w:tc>
        <w:tc>
          <w:tcPr>
            <w:tcW w:w="1611"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-0,468</w:t>
            </w:r>
          </w:p>
        </w:tc>
        <w:tc>
          <w:tcPr>
            <w:tcW w:w="1080"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-1,224</w:t>
            </w:r>
          </w:p>
        </w:tc>
        <w:tc>
          <w:tcPr>
            <w:tcW w:w="1206"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0,225</w:t>
            </w:r>
          </w:p>
        </w:tc>
      </w:tr>
      <w:tr w:rsidR="008516BE" w:rsidRPr="008516BE" w:rsidTr="008516BE">
        <w:trPr>
          <w:jc w:val="center"/>
        </w:trPr>
        <w:tc>
          <w:tcPr>
            <w:tcW w:w="1800" w:type="dxa"/>
            <w:tcBorders>
              <w:top w:val="nil"/>
              <w:bottom w:val="nil"/>
            </w:tcBorders>
          </w:tcPr>
          <w:p w:rsidR="008516BE" w:rsidRPr="008516BE" w:rsidRDefault="008516BE" w:rsidP="008516BE">
            <w:pPr>
              <w:autoSpaceDE w:val="0"/>
              <w:autoSpaceDN w:val="0"/>
              <w:adjustRightInd w:val="0"/>
              <w:ind w:right="60"/>
              <w:rPr>
                <w:rFonts w:ascii="Times New Roman" w:hAnsi="Times New Roman"/>
                <w:color w:val="000000"/>
                <w:sz w:val="20"/>
                <w:szCs w:val="20"/>
              </w:rPr>
            </w:pPr>
            <w:r w:rsidRPr="008516BE">
              <w:rPr>
                <w:rFonts w:ascii="Times New Roman" w:hAnsi="Times New Roman"/>
                <w:color w:val="000000"/>
                <w:sz w:val="20"/>
                <w:szCs w:val="20"/>
              </w:rPr>
              <w:t>ROA*KAP</w:t>
            </w:r>
          </w:p>
        </w:tc>
        <w:tc>
          <w:tcPr>
            <w:tcW w:w="1140"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66,679</w:t>
            </w:r>
          </w:p>
        </w:tc>
        <w:tc>
          <w:tcPr>
            <w:tcW w:w="1299"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36,987</w:t>
            </w:r>
          </w:p>
        </w:tc>
        <w:tc>
          <w:tcPr>
            <w:tcW w:w="1611"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0,382</w:t>
            </w:r>
          </w:p>
        </w:tc>
        <w:tc>
          <w:tcPr>
            <w:tcW w:w="1080"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1,803</w:t>
            </w:r>
          </w:p>
        </w:tc>
        <w:tc>
          <w:tcPr>
            <w:tcW w:w="1206"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0,076</w:t>
            </w:r>
          </w:p>
        </w:tc>
      </w:tr>
      <w:tr w:rsidR="008516BE" w:rsidRPr="008516BE" w:rsidTr="008516BE">
        <w:trPr>
          <w:jc w:val="center"/>
        </w:trPr>
        <w:tc>
          <w:tcPr>
            <w:tcW w:w="1800" w:type="dxa"/>
            <w:tcBorders>
              <w:top w:val="nil"/>
              <w:bottom w:val="single" w:sz="4" w:space="0" w:color="000000"/>
            </w:tcBorders>
          </w:tcPr>
          <w:p w:rsidR="008516BE" w:rsidRPr="008516BE" w:rsidRDefault="008516BE" w:rsidP="008516BE">
            <w:pPr>
              <w:autoSpaceDE w:val="0"/>
              <w:autoSpaceDN w:val="0"/>
              <w:adjustRightInd w:val="0"/>
              <w:ind w:right="60"/>
              <w:rPr>
                <w:rFonts w:ascii="Times New Roman" w:hAnsi="Times New Roman"/>
                <w:color w:val="000000"/>
                <w:sz w:val="20"/>
                <w:szCs w:val="20"/>
              </w:rPr>
            </w:pPr>
            <w:r w:rsidRPr="008516BE">
              <w:rPr>
                <w:rFonts w:ascii="Times New Roman" w:hAnsi="Times New Roman"/>
                <w:color w:val="000000"/>
                <w:sz w:val="20"/>
                <w:szCs w:val="20"/>
              </w:rPr>
              <w:t>LEV*KAP</w:t>
            </w:r>
          </w:p>
        </w:tc>
        <w:tc>
          <w:tcPr>
            <w:tcW w:w="1140" w:type="dxa"/>
            <w:tcBorders>
              <w:top w:val="nil"/>
              <w:bottom w:val="single" w:sz="4" w:space="0" w:color="000000"/>
            </w:tcBorders>
          </w:tcPr>
          <w:p w:rsidR="008516BE" w:rsidRPr="008516BE" w:rsidRDefault="008516BE" w:rsidP="008516BE">
            <w:pPr>
              <w:pStyle w:val="Default"/>
              <w:jc w:val="both"/>
              <w:rPr>
                <w:iCs/>
                <w:sz w:val="20"/>
                <w:szCs w:val="20"/>
              </w:rPr>
            </w:pPr>
            <w:r w:rsidRPr="008516BE">
              <w:rPr>
                <w:iCs/>
                <w:sz w:val="20"/>
                <w:szCs w:val="20"/>
              </w:rPr>
              <w:t>5,612</w:t>
            </w:r>
          </w:p>
        </w:tc>
        <w:tc>
          <w:tcPr>
            <w:tcW w:w="1299" w:type="dxa"/>
            <w:tcBorders>
              <w:top w:val="nil"/>
              <w:bottom w:val="single" w:sz="4" w:space="0" w:color="000000"/>
            </w:tcBorders>
          </w:tcPr>
          <w:p w:rsidR="008516BE" w:rsidRPr="008516BE" w:rsidRDefault="008516BE" w:rsidP="008516BE">
            <w:pPr>
              <w:pStyle w:val="Default"/>
              <w:jc w:val="both"/>
              <w:rPr>
                <w:iCs/>
                <w:sz w:val="20"/>
                <w:szCs w:val="20"/>
              </w:rPr>
            </w:pPr>
            <w:r w:rsidRPr="008516BE">
              <w:rPr>
                <w:iCs/>
                <w:sz w:val="20"/>
                <w:szCs w:val="20"/>
              </w:rPr>
              <w:t>10,947</w:t>
            </w:r>
          </w:p>
        </w:tc>
        <w:tc>
          <w:tcPr>
            <w:tcW w:w="1611" w:type="dxa"/>
            <w:tcBorders>
              <w:top w:val="nil"/>
              <w:bottom w:val="single" w:sz="4" w:space="0" w:color="000000"/>
            </w:tcBorders>
          </w:tcPr>
          <w:p w:rsidR="008516BE" w:rsidRPr="008516BE" w:rsidRDefault="008516BE" w:rsidP="008516BE">
            <w:pPr>
              <w:pStyle w:val="Default"/>
              <w:jc w:val="both"/>
              <w:rPr>
                <w:iCs/>
                <w:sz w:val="20"/>
                <w:szCs w:val="20"/>
              </w:rPr>
            </w:pPr>
            <w:r w:rsidRPr="008516BE">
              <w:rPr>
                <w:iCs/>
                <w:sz w:val="20"/>
                <w:szCs w:val="20"/>
              </w:rPr>
              <w:t>0,202</w:t>
            </w:r>
          </w:p>
        </w:tc>
        <w:tc>
          <w:tcPr>
            <w:tcW w:w="1080" w:type="dxa"/>
            <w:tcBorders>
              <w:top w:val="nil"/>
              <w:bottom w:val="single" w:sz="4" w:space="0" w:color="000000"/>
            </w:tcBorders>
          </w:tcPr>
          <w:p w:rsidR="008516BE" w:rsidRPr="008516BE" w:rsidRDefault="008516BE" w:rsidP="008516BE">
            <w:pPr>
              <w:pStyle w:val="Default"/>
              <w:jc w:val="both"/>
              <w:rPr>
                <w:iCs/>
                <w:sz w:val="20"/>
                <w:szCs w:val="20"/>
              </w:rPr>
            </w:pPr>
            <w:r w:rsidRPr="008516BE">
              <w:rPr>
                <w:iCs/>
                <w:sz w:val="20"/>
                <w:szCs w:val="20"/>
              </w:rPr>
              <w:t>0,513</w:t>
            </w:r>
          </w:p>
        </w:tc>
        <w:tc>
          <w:tcPr>
            <w:tcW w:w="1206" w:type="dxa"/>
            <w:tcBorders>
              <w:top w:val="nil"/>
              <w:bottom w:val="single" w:sz="4" w:space="0" w:color="000000"/>
            </w:tcBorders>
          </w:tcPr>
          <w:p w:rsidR="008516BE" w:rsidRPr="008516BE" w:rsidRDefault="008516BE" w:rsidP="008516BE">
            <w:pPr>
              <w:pStyle w:val="Default"/>
              <w:jc w:val="both"/>
              <w:rPr>
                <w:iCs/>
                <w:sz w:val="20"/>
                <w:szCs w:val="20"/>
              </w:rPr>
            </w:pPr>
            <w:r w:rsidRPr="008516BE">
              <w:rPr>
                <w:iCs/>
                <w:sz w:val="20"/>
                <w:szCs w:val="20"/>
              </w:rPr>
              <w:t>0,610</w:t>
            </w:r>
          </w:p>
        </w:tc>
      </w:tr>
      <w:tr w:rsidR="008516BE" w:rsidRPr="008516BE" w:rsidTr="008516BE">
        <w:trPr>
          <w:jc w:val="center"/>
        </w:trPr>
        <w:tc>
          <w:tcPr>
            <w:tcW w:w="1800" w:type="dxa"/>
            <w:tcBorders>
              <w:bottom w:val="nil"/>
            </w:tcBorders>
          </w:tcPr>
          <w:p w:rsidR="008516BE" w:rsidRPr="008516BE" w:rsidRDefault="008516BE" w:rsidP="008516BE">
            <w:pPr>
              <w:autoSpaceDE w:val="0"/>
              <w:autoSpaceDN w:val="0"/>
              <w:adjustRightInd w:val="0"/>
              <w:ind w:left="60" w:right="60"/>
              <w:rPr>
                <w:rFonts w:ascii="Times New Roman" w:hAnsi="Times New Roman"/>
                <w:b/>
                <w:color w:val="000000"/>
                <w:sz w:val="20"/>
                <w:szCs w:val="20"/>
              </w:rPr>
            </w:pPr>
            <w:r w:rsidRPr="008516BE">
              <w:rPr>
                <w:rFonts w:ascii="Times New Roman" w:hAnsi="Times New Roman"/>
                <w:b/>
                <w:color w:val="000000"/>
                <w:sz w:val="20"/>
                <w:szCs w:val="20"/>
              </w:rPr>
              <w:t>R</w:t>
            </w:r>
          </w:p>
        </w:tc>
        <w:tc>
          <w:tcPr>
            <w:tcW w:w="5130" w:type="dxa"/>
            <w:gridSpan w:val="4"/>
            <w:tcBorders>
              <w:bottom w:val="nil"/>
            </w:tcBorders>
          </w:tcPr>
          <w:p w:rsidR="008516BE" w:rsidRPr="008516BE" w:rsidRDefault="008516BE" w:rsidP="008516BE">
            <w:pPr>
              <w:pStyle w:val="Default"/>
              <w:jc w:val="both"/>
              <w:rPr>
                <w:b/>
                <w:iCs/>
                <w:sz w:val="20"/>
                <w:szCs w:val="20"/>
              </w:rPr>
            </w:pPr>
          </w:p>
        </w:tc>
        <w:tc>
          <w:tcPr>
            <w:tcW w:w="1206" w:type="dxa"/>
            <w:tcBorders>
              <w:bottom w:val="nil"/>
            </w:tcBorders>
          </w:tcPr>
          <w:p w:rsidR="008516BE" w:rsidRPr="008516BE" w:rsidRDefault="008516BE" w:rsidP="008516BE">
            <w:pPr>
              <w:pStyle w:val="Default"/>
              <w:jc w:val="both"/>
              <w:rPr>
                <w:iCs/>
                <w:sz w:val="20"/>
                <w:szCs w:val="20"/>
              </w:rPr>
            </w:pPr>
            <w:r w:rsidRPr="008516BE">
              <w:rPr>
                <w:iCs/>
                <w:sz w:val="20"/>
                <w:szCs w:val="20"/>
              </w:rPr>
              <w:t>0,440</w:t>
            </w:r>
          </w:p>
        </w:tc>
      </w:tr>
      <w:tr w:rsidR="008516BE" w:rsidRPr="008516BE" w:rsidTr="008516BE">
        <w:trPr>
          <w:jc w:val="center"/>
        </w:trPr>
        <w:tc>
          <w:tcPr>
            <w:tcW w:w="1800" w:type="dxa"/>
            <w:tcBorders>
              <w:top w:val="nil"/>
              <w:bottom w:val="nil"/>
            </w:tcBorders>
          </w:tcPr>
          <w:p w:rsidR="008516BE" w:rsidRPr="008516BE" w:rsidRDefault="008516BE" w:rsidP="008516BE">
            <w:pPr>
              <w:autoSpaceDE w:val="0"/>
              <w:autoSpaceDN w:val="0"/>
              <w:adjustRightInd w:val="0"/>
              <w:ind w:left="60" w:right="60"/>
              <w:rPr>
                <w:rFonts w:ascii="Times New Roman" w:hAnsi="Times New Roman"/>
                <w:color w:val="000000"/>
                <w:sz w:val="20"/>
                <w:szCs w:val="20"/>
                <w:vertAlign w:val="superscript"/>
              </w:rPr>
            </w:pPr>
            <w:r w:rsidRPr="008516BE">
              <w:rPr>
                <w:rFonts w:ascii="Times New Roman" w:hAnsi="Times New Roman"/>
                <w:b/>
                <w:color w:val="000000"/>
                <w:sz w:val="20"/>
                <w:szCs w:val="20"/>
              </w:rPr>
              <w:t>R</w:t>
            </w:r>
            <w:r w:rsidRPr="008516BE">
              <w:rPr>
                <w:rFonts w:ascii="Times New Roman" w:hAnsi="Times New Roman"/>
                <w:color w:val="000000"/>
                <w:sz w:val="20"/>
                <w:szCs w:val="20"/>
                <w:vertAlign w:val="superscript"/>
              </w:rPr>
              <w:t>2</w:t>
            </w:r>
          </w:p>
        </w:tc>
        <w:tc>
          <w:tcPr>
            <w:tcW w:w="5130" w:type="dxa"/>
            <w:gridSpan w:val="4"/>
            <w:tcBorders>
              <w:top w:val="nil"/>
              <w:bottom w:val="nil"/>
            </w:tcBorders>
          </w:tcPr>
          <w:p w:rsidR="008516BE" w:rsidRPr="008516BE" w:rsidRDefault="008516BE" w:rsidP="008516BE">
            <w:pPr>
              <w:pStyle w:val="Default"/>
              <w:jc w:val="both"/>
              <w:rPr>
                <w:b/>
                <w:iCs/>
                <w:sz w:val="20"/>
                <w:szCs w:val="20"/>
              </w:rPr>
            </w:pPr>
          </w:p>
        </w:tc>
        <w:tc>
          <w:tcPr>
            <w:tcW w:w="1206"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0,194</w:t>
            </w:r>
          </w:p>
        </w:tc>
      </w:tr>
      <w:tr w:rsidR="008516BE" w:rsidRPr="008516BE" w:rsidTr="008516BE">
        <w:trPr>
          <w:jc w:val="center"/>
        </w:trPr>
        <w:tc>
          <w:tcPr>
            <w:tcW w:w="1800" w:type="dxa"/>
            <w:tcBorders>
              <w:top w:val="nil"/>
              <w:bottom w:val="nil"/>
            </w:tcBorders>
          </w:tcPr>
          <w:p w:rsidR="008516BE" w:rsidRPr="008516BE" w:rsidRDefault="008516BE" w:rsidP="008516BE">
            <w:pPr>
              <w:autoSpaceDE w:val="0"/>
              <w:autoSpaceDN w:val="0"/>
              <w:adjustRightInd w:val="0"/>
              <w:ind w:left="60" w:right="60"/>
              <w:rPr>
                <w:rFonts w:ascii="Times New Roman" w:hAnsi="Times New Roman"/>
                <w:color w:val="000000"/>
                <w:sz w:val="20"/>
                <w:szCs w:val="20"/>
              </w:rPr>
            </w:pPr>
            <w:r w:rsidRPr="008516BE">
              <w:rPr>
                <w:rFonts w:ascii="Times New Roman" w:hAnsi="Times New Roman"/>
                <w:b/>
                <w:i/>
                <w:sz w:val="20"/>
                <w:szCs w:val="20"/>
              </w:rPr>
              <w:t xml:space="preserve">Adjusted </w:t>
            </w:r>
            <w:r w:rsidRPr="008516BE">
              <w:rPr>
                <w:rFonts w:ascii="Times New Roman" w:hAnsi="Times New Roman"/>
                <w:b/>
                <w:sz w:val="20"/>
                <w:szCs w:val="20"/>
              </w:rPr>
              <w:t>R</w:t>
            </w:r>
            <w:r w:rsidRPr="008516BE">
              <w:rPr>
                <w:rFonts w:ascii="Times New Roman" w:hAnsi="Times New Roman"/>
                <w:b/>
                <w:sz w:val="20"/>
                <w:szCs w:val="20"/>
                <w:vertAlign w:val="superscript"/>
              </w:rPr>
              <w:t>2</w:t>
            </w:r>
          </w:p>
        </w:tc>
        <w:tc>
          <w:tcPr>
            <w:tcW w:w="5130" w:type="dxa"/>
            <w:gridSpan w:val="4"/>
            <w:tcBorders>
              <w:top w:val="nil"/>
              <w:bottom w:val="nil"/>
            </w:tcBorders>
          </w:tcPr>
          <w:p w:rsidR="008516BE" w:rsidRPr="008516BE" w:rsidRDefault="008516BE" w:rsidP="008516BE">
            <w:pPr>
              <w:pStyle w:val="Default"/>
              <w:jc w:val="both"/>
              <w:rPr>
                <w:b/>
                <w:iCs/>
                <w:sz w:val="20"/>
                <w:szCs w:val="20"/>
              </w:rPr>
            </w:pPr>
          </w:p>
        </w:tc>
        <w:tc>
          <w:tcPr>
            <w:tcW w:w="1206"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0,139</w:t>
            </w:r>
          </w:p>
        </w:tc>
      </w:tr>
      <w:tr w:rsidR="008516BE" w:rsidRPr="008516BE" w:rsidTr="008516BE">
        <w:trPr>
          <w:jc w:val="center"/>
        </w:trPr>
        <w:tc>
          <w:tcPr>
            <w:tcW w:w="1800" w:type="dxa"/>
            <w:tcBorders>
              <w:top w:val="nil"/>
              <w:bottom w:val="nil"/>
            </w:tcBorders>
          </w:tcPr>
          <w:p w:rsidR="008516BE" w:rsidRPr="008516BE" w:rsidRDefault="008516BE" w:rsidP="008516BE">
            <w:pPr>
              <w:tabs>
                <w:tab w:val="left" w:pos="1065"/>
              </w:tabs>
              <w:autoSpaceDE w:val="0"/>
              <w:autoSpaceDN w:val="0"/>
              <w:adjustRightInd w:val="0"/>
              <w:ind w:left="60" w:right="60"/>
              <w:rPr>
                <w:rFonts w:ascii="Times New Roman" w:hAnsi="Times New Roman"/>
                <w:color w:val="000000"/>
                <w:sz w:val="20"/>
                <w:szCs w:val="20"/>
              </w:rPr>
            </w:pPr>
            <w:r w:rsidRPr="008516BE">
              <w:rPr>
                <w:rFonts w:ascii="Times New Roman" w:hAnsi="Times New Roman"/>
                <w:b/>
                <w:sz w:val="20"/>
                <w:szCs w:val="20"/>
              </w:rPr>
              <w:t>F Hitung</w:t>
            </w:r>
          </w:p>
        </w:tc>
        <w:tc>
          <w:tcPr>
            <w:tcW w:w="5130" w:type="dxa"/>
            <w:gridSpan w:val="4"/>
            <w:tcBorders>
              <w:top w:val="nil"/>
              <w:bottom w:val="nil"/>
            </w:tcBorders>
          </w:tcPr>
          <w:p w:rsidR="008516BE" w:rsidRPr="008516BE" w:rsidRDefault="008516BE" w:rsidP="008516BE">
            <w:pPr>
              <w:pStyle w:val="Default"/>
              <w:jc w:val="both"/>
              <w:rPr>
                <w:b/>
                <w:iCs/>
                <w:sz w:val="20"/>
                <w:szCs w:val="20"/>
              </w:rPr>
            </w:pPr>
          </w:p>
        </w:tc>
        <w:tc>
          <w:tcPr>
            <w:tcW w:w="1206" w:type="dxa"/>
            <w:tcBorders>
              <w:top w:val="nil"/>
              <w:bottom w:val="nil"/>
            </w:tcBorders>
          </w:tcPr>
          <w:p w:rsidR="008516BE" w:rsidRPr="008516BE" w:rsidRDefault="008516BE" w:rsidP="008516BE">
            <w:pPr>
              <w:pStyle w:val="Default"/>
              <w:jc w:val="both"/>
              <w:rPr>
                <w:iCs/>
                <w:sz w:val="20"/>
                <w:szCs w:val="20"/>
              </w:rPr>
            </w:pPr>
            <w:r w:rsidRPr="008516BE">
              <w:rPr>
                <w:iCs/>
                <w:sz w:val="20"/>
                <w:szCs w:val="20"/>
              </w:rPr>
              <w:t>3,556</w:t>
            </w:r>
          </w:p>
        </w:tc>
      </w:tr>
      <w:tr w:rsidR="008516BE" w:rsidRPr="008516BE" w:rsidTr="008516BE">
        <w:trPr>
          <w:jc w:val="center"/>
        </w:trPr>
        <w:tc>
          <w:tcPr>
            <w:tcW w:w="1800" w:type="dxa"/>
            <w:tcBorders>
              <w:top w:val="nil"/>
            </w:tcBorders>
          </w:tcPr>
          <w:p w:rsidR="008516BE" w:rsidRPr="008516BE" w:rsidRDefault="008516BE" w:rsidP="008516BE">
            <w:pPr>
              <w:tabs>
                <w:tab w:val="left" w:pos="1065"/>
              </w:tabs>
              <w:autoSpaceDE w:val="0"/>
              <w:autoSpaceDN w:val="0"/>
              <w:adjustRightInd w:val="0"/>
              <w:ind w:left="60" w:right="60"/>
              <w:rPr>
                <w:rFonts w:ascii="Times New Roman" w:hAnsi="Times New Roman"/>
                <w:color w:val="000000"/>
                <w:sz w:val="20"/>
                <w:szCs w:val="20"/>
              </w:rPr>
            </w:pPr>
            <w:r w:rsidRPr="008516BE">
              <w:rPr>
                <w:rFonts w:ascii="Times New Roman" w:hAnsi="Times New Roman"/>
                <w:b/>
                <w:sz w:val="20"/>
                <w:szCs w:val="20"/>
              </w:rPr>
              <w:t>Sig. F</w:t>
            </w:r>
          </w:p>
        </w:tc>
        <w:tc>
          <w:tcPr>
            <w:tcW w:w="5130" w:type="dxa"/>
            <w:gridSpan w:val="4"/>
            <w:tcBorders>
              <w:top w:val="nil"/>
            </w:tcBorders>
          </w:tcPr>
          <w:p w:rsidR="008516BE" w:rsidRPr="008516BE" w:rsidRDefault="008516BE" w:rsidP="008516BE">
            <w:pPr>
              <w:pStyle w:val="Default"/>
              <w:jc w:val="both"/>
              <w:rPr>
                <w:b/>
                <w:iCs/>
                <w:sz w:val="20"/>
                <w:szCs w:val="20"/>
              </w:rPr>
            </w:pPr>
          </w:p>
        </w:tc>
        <w:tc>
          <w:tcPr>
            <w:tcW w:w="1206" w:type="dxa"/>
            <w:tcBorders>
              <w:top w:val="nil"/>
            </w:tcBorders>
          </w:tcPr>
          <w:p w:rsidR="008516BE" w:rsidRPr="008516BE" w:rsidRDefault="008516BE" w:rsidP="008516BE">
            <w:pPr>
              <w:pStyle w:val="Default"/>
              <w:jc w:val="both"/>
              <w:rPr>
                <w:iCs/>
                <w:sz w:val="20"/>
                <w:szCs w:val="20"/>
              </w:rPr>
            </w:pPr>
            <w:r w:rsidRPr="008516BE">
              <w:rPr>
                <w:iCs/>
                <w:sz w:val="20"/>
                <w:szCs w:val="20"/>
              </w:rPr>
              <w:t>0,006</w:t>
            </w:r>
          </w:p>
        </w:tc>
      </w:tr>
    </w:tbl>
    <w:p w:rsidR="008516BE" w:rsidRPr="00244C6C" w:rsidRDefault="008516BE" w:rsidP="008516BE">
      <w:pPr>
        <w:pStyle w:val="Default"/>
        <w:spacing w:line="480" w:lineRule="auto"/>
        <w:ind w:firstLine="142"/>
        <w:jc w:val="both"/>
        <w:rPr>
          <w:iCs/>
          <w:sz w:val="20"/>
          <w:szCs w:val="20"/>
        </w:rPr>
      </w:pPr>
      <w:r w:rsidRPr="00244C6C">
        <w:rPr>
          <w:i/>
          <w:iCs/>
          <w:sz w:val="20"/>
          <w:szCs w:val="20"/>
        </w:rPr>
        <w:t>Sumber</w:t>
      </w:r>
      <w:r w:rsidRPr="00244C6C">
        <w:rPr>
          <w:iCs/>
          <w:sz w:val="20"/>
          <w:szCs w:val="20"/>
        </w:rPr>
        <w:t>: Data Sekunder diolah, (2015)</w:t>
      </w:r>
    </w:p>
    <w:p w:rsidR="008516BE" w:rsidRDefault="008516BE" w:rsidP="008516BE">
      <w:pPr>
        <w:pStyle w:val="Default"/>
        <w:ind w:firstLine="720"/>
        <w:jc w:val="both"/>
        <w:rPr>
          <w:iCs/>
        </w:rPr>
      </w:pPr>
    </w:p>
    <w:p w:rsidR="008516BE" w:rsidRDefault="008516BE" w:rsidP="008516BE">
      <w:pPr>
        <w:pStyle w:val="Default"/>
        <w:spacing w:after="240"/>
        <w:ind w:left="540"/>
        <w:jc w:val="center"/>
        <w:rPr>
          <w:iCs/>
        </w:rPr>
      </w:pPr>
      <w:r>
        <w:rPr>
          <w:iCs/>
        </w:rPr>
        <w:t>Y = 91,305 – 42,982 (X</w:t>
      </w:r>
      <w:r w:rsidRPr="007927CE">
        <w:rPr>
          <w:iCs/>
          <w:vertAlign w:val="subscript"/>
        </w:rPr>
        <w:t>1</w:t>
      </w:r>
      <w:r>
        <w:rPr>
          <w:iCs/>
        </w:rPr>
        <w:t>) – 18,092</w:t>
      </w:r>
      <w:r w:rsidRPr="00B074A7">
        <w:rPr>
          <w:iCs/>
        </w:rPr>
        <w:t xml:space="preserve"> (X</w:t>
      </w:r>
      <w:r w:rsidRPr="007927CE">
        <w:rPr>
          <w:iCs/>
          <w:vertAlign w:val="subscript"/>
        </w:rPr>
        <w:t>2</w:t>
      </w:r>
      <w:r>
        <w:rPr>
          <w:iCs/>
        </w:rPr>
        <w:t>)  - 6,543</w:t>
      </w:r>
      <w:r w:rsidRPr="00B074A7">
        <w:rPr>
          <w:iCs/>
        </w:rPr>
        <w:t xml:space="preserve"> (X</w:t>
      </w:r>
      <w:r w:rsidRPr="007927CE">
        <w:rPr>
          <w:iCs/>
          <w:vertAlign w:val="subscript"/>
        </w:rPr>
        <w:t>3</w:t>
      </w:r>
      <w:r>
        <w:rPr>
          <w:iCs/>
        </w:rPr>
        <w:t>) + 66,679 (ROA*KAP) + 5,612 (LEV*KAP) + e…………………………...(1</w:t>
      </w:r>
      <w:r w:rsidRPr="00B074A7">
        <w:rPr>
          <w:iCs/>
        </w:rPr>
        <w:t>)</w:t>
      </w:r>
    </w:p>
    <w:p w:rsidR="008516BE" w:rsidRDefault="008516BE" w:rsidP="008516BE">
      <w:pPr>
        <w:pStyle w:val="Default"/>
        <w:spacing w:line="480" w:lineRule="auto"/>
        <w:ind w:firstLine="540"/>
        <w:jc w:val="both"/>
        <w:rPr>
          <w:iCs/>
        </w:rPr>
      </w:pPr>
      <w:r>
        <w:rPr>
          <w:iCs/>
        </w:rPr>
        <w:t xml:space="preserve">Konstanta (α) sebesar 91,305 memiliki arti bahwa apabila profitabilitas, solvabilitas, hubungan antara profitabilitas dengan reputasi kantor akuntan publik, dan hubungan antara solvabilitas dengan reputasi kantor akuntan publik memiliki nilai konstan pada angka nol, maka besarnya nilai audit delay yang terjadi sebesar 91,305 hari. </w:t>
      </w:r>
    </w:p>
    <w:p w:rsidR="008516BE" w:rsidRPr="005B0265" w:rsidRDefault="008516BE" w:rsidP="008516BE">
      <w:pPr>
        <w:pStyle w:val="Default"/>
        <w:spacing w:line="480" w:lineRule="auto"/>
        <w:ind w:firstLine="540"/>
        <w:jc w:val="both"/>
        <w:rPr>
          <w:iCs/>
        </w:rPr>
      </w:pPr>
      <w:r>
        <w:rPr>
          <w:iCs/>
        </w:rPr>
        <w:t xml:space="preserve">Koefesien regresi variabel profitabilitas sebesar -42,982 memiliki arti </w:t>
      </w:r>
      <w:r w:rsidRPr="005B0265">
        <w:rPr>
          <w:iCs/>
        </w:rPr>
        <w:t>jika variabel independen lain nilainya konstan</w:t>
      </w:r>
      <w:r>
        <w:rPr>
          <w:iCs/>
        </w:rPr>
        <w:t xml:space="preserve"> dan profitabilitas meningkat satu satuan, maka audit delay akan mengalami penurunan sebesar 42,982 hari. </w:t>
      </w:r>
      <w:r w:rsidRPr="005B0265">
        <w:rPr>
          <w:iCs/>
        </w:rPr>
        <w:t>Koefisien bernilai negatif ini berarti bahwa profitabilitas memiliki pengaruh yang negatif terhadap audit de</w:t>
      </w:r>
      <w:r>
        <w:rPr>
          <w:iCs/>
        </w:rPr>
        <w:t xml:space="preserve">lay yang terjadi. Semakin besar kemampuan perusahaan dalam menghasilkan </w:t>
      </w:r>
      <w:r>
        <w:rPr>
          <w:iCs/>
        </w:rPr>
        <w:lastRenderedPageBreak/>
        <w:t xml:space="preserve">keuntungan </w:t>
      </w:r>
      <w:r w:rsidRPr="005B0265">
        <w:rPr>
          <w:iCs/>
        </w:rPr>
        <w:t>maka semakin cepat proses audit yang terjadi hingga memperpendek rentang audit delay.</w:t>
      </w:r>
      <w:r>
        <w:rPr>
          <w:iCs/>
        </w:rPr>
        <w:t xml:space="preserve"> Sebaliknya, semakin kecil kemampuan perusahaan dalam menghasilkan keuntungan maka semakin lama proses audit yang terjadi hingga memperpanjang rentang audit delay.</w:t>
      </w:r>
    </w:p>
    <w:p w:rsidR="008516BE" w:rsidRDefault="008516BE" w:rsidP="008516BE">
      <w:pPr>
        <w:pStyle w:val="Default"/>
        <w:spacing w:line="480" w:lineRule="auto"/>
        <w:ind w:firstLine="540"/>
        <w:jc w:val="both"/>
        <w:rPr>
          <w:iCs/>
        </w:rPr>
      </w:pPr>
      <w:r w:rsidRPr="00A109C9">
        <w:rPr>
          <w:iCs/>
        </w:rPr>
        <w:t>Koefisie</w:t>
      </w:r>
      <w:r>
        <w:rPr>
          <w:iCs/>
        </w:rPr>
        <w:t xml:space="preserve">n regresi variabel solvabilitas </w:t>
      </w:r>
      <w:r w:rsidRPr="00A109C9">
        <w:rPr>
          <w:iCs/>
        </w:rPr>
        <w:t xml:space="preserve">sebesar -18,092 yang mempunyai arti </w:t>
      </w:r>
      <w:r w:rsidRPr="005B0265">
        <w:rPr>
          <w:iCs/>
        </w:rPr>
        <w:t>jika variabel independen lain nilainya konstan</w:t>
      </w:r>
      <w:r>
        <w:rPr>
          <w:iCs/>
        </w:rPr>
        <w:t xml:space="preserve"> dan </w:t>
      </w:r>
      <w:r w:rsidRPr="00A109C9">
        <w:rPr>
          <w:iCs/>
        </w:rPr>
        <w:t>solvabilitas meningkat satu satuan, maka</w:t>
      </w:r>
      <w:r>
        <w:rPr>
          <w:iCs/>
        </w:rPr>
        <w:t xml:space="preserve"> audit delay akan mengalami penurunan </w:t>
      </w:r>
      <w:r w:rsidRPr="00A109C9">
        <w:rPr>
          <w:iCs/>
        </w:rPr>
        <w:t>sebesar 18,092</w:t>
      </w:r>
      <w:r>
        <w:rPr>
          <w:iCs/>
        </w:rPr>
        <w:t xml:space="preserve"> hari</w:t>
      </w:r>
      <w:r w:rsidRPr="00A109C9">
        <w:rPr>
          <w:iCs/>
        </w:rPr>
        <w:t>.</w:t>
      </w:r>
      <w:r w:rsidRPr="005B0265">
        <w:rPr>
          <w:iCs/>
        </w:rPr>
        <w:t>Koefisien bernilai negatif ini</w:t>
      </w:r>
      <w:r>
        <w:rPr>
          <w:iCs/>
        </w:rPr>
        <w:t xml:space="preserve"> berarti bahwa solvabilitas </w:t>
      </w:r>
      <w:r w:rsidRPr="005B0265">
        <w:rPr>
          <w:iCs/>
        </w:rPr>
        <w:t>memiliki pengaruh yang negatif terhadap audit delay yang terjadi. Semakin besar</w:t>
      </w:r>
      <w:r>
        <w:rPr>
          <w:iCs/>
        </w:rPr>
        <w:t xml:space="preserve"> utang yang dimiliki </w:t>
      </w:r>
      <w:r w:rsidRPr="005B0265">
        <w:rPr>
          <w:iCs/>
        </w:rPr>
        <w:t>perusahaan maka semakin cepat proses audit yang terjadi hingga memperpendek rentang audit delay.</w:t>
      </w:r>
      <w:r>
        <w:rPr>
          <w:iCs/>
        </w:rPr>
        <w:t xml:space="preserve"> Sebaliknya, semakin kecil utang yang dimiliki perusahaan maka semakin lama proses audit yang terjadi hingga memperpanjang rentang audit delay.</w:t>
      </w:r>
    </w:p>
    <w:p w:rsidR="008516BE" w:rsidRDefault="008516BE" w:rsidP="008516BE">
      <w:pPr>
        <w:pStyle w:val="Default"/>
        <w:spacing w:line="480" w:lineRule="auto"/>
        <w:ind w:firstLine="540"/>
        <w:jc w:val="both"/>
        <w:rPr>
          <w:iCs/>
        </w:rPr>
      </w:pPr>
      <w:r w:rsidRPr="00965A25">
        <w:rPr>
          <w:iCs/>
        </w:rPr>
        <w:t xml:space="preserve">Koefisien regresi variabel reputasi kantor akuntan publik (KAP) memiliki nilai sebesar -6,543 mempunyai arti jika variabel independen lain nilainya konstan dan reputasi kantor akuntan publik meningkat satu satuan, maka audit delay akan mengalami penurunan sebesar 6,543 hari. Koefisien regresi reputasi KAP bertanda negatif yang berarti bahwa untuk perusahaan yang di audit oleh KAP </w:t>
      </w:r>
      <w:r>
        <w:rPr>
          <w:i/>
          <w:iCs/>
        </w:rPr>
        <w:t>Big F</w:t>
      </w:r>
      <w:r w:rsidRPr="00965A25">
        <w:rPr>
          <w:i/>
          <w:iCs/>
        </w:rPr>
        <w:t>our</w:t>
      </w:r>
      <w:r w:rsidRPr="00965A25">
        <w:rPr>
          <w:iCs/>
        </w:rPr>
        <w:t xml:space="preserve"> akan mengalami waktu audit yang lebih cepat 6 hari dibandingkan perusahaan yang di audit oleh KAP non </w:t>
      </w:r>
      <w:r>
        <w:rPr>
          <w:i/>
          <w:iCs/>
        </w:rPr>
        <w:t>Big F</w:t>
      </w:r>
      <w:r w:rsidRPr="00965A25">
        <w:rPr>
          <w:i/>
          <w:iCs/>
        </w:rPr>
        <w:t>our</w:t>
      </w:r>
      <w:r w:rsidRPr="00965A25">
        <w:rPr>
          <w:iCs/>
        </w:rPr>
        <w:t xml:space="preserve">. Perusahaan yang di audit oleh KAP </w:t>
      </w:r>
      <w:r>
        <w:rPr>
          <w:i/>
          <w:iCs/>
        </w:rPr>
        <w:t>Big F</w:t>
      </w:r>
      <w:r w:rsidRPr="00965A25">
        <w:rPr>
          <w:i/>
          <w:iCs/>
        </w:rPr>
        <w:t>our</w:t>
      </w:r>
      <w:r w:rsidRPr="00965A25">
        <w:rPr>
          <w:iCs/>
        </w:rPr>
        <w:t xml:space="preserve"> mengalami proses audit yang lebih cepat dibandingkan perusahaan yang diaudit oleh KAP non </w:t>
      </w:r>
      <w:r>
        <w:rPr>
          <w:i/>
          <w:iCs/>
        </w:rPr>
        <w:t>Big F</w:t>
      </w:r>
      <w:r w:rsidRPr="00965A25">
        <w:rPr>
          <w:i/>
          <w:iCs/>
        </w:rPr>
        <w:t>our</w:t>
      </w:r>
      <w:r>
        <w:rPr>
          <w:iCs/>
        </w:rPr>
        <w:t>.</w:t>
      </w:r>
    </w:p>
    <w:p w:rsidR="008516BE" w:rsidRDefault="008516BE" w:rsidP="008516BE">
      <w:pPr>
        <w:pStyle w:val="Default"/>
        <w:spacing w:line="480" w:lineRule="auto"/>
        <w:ind w:firstLine="540"/>
        <w:jc w:val="both"/>
        <w:rPr>
          <w:iCs/>
        </w:rPr>
      </w:pPr>
      <w:r w:rsidRPr="00965A25">
        <w:rPr>
          <w:iCs/>
        </w:rPr>
        <w:lastRenderedPageBreak/>
        <w:t xml:space="preserve">Koefisien moderat antara profitabilitas dengan reputasi kantor akuntan publik </w:t>
      </w:r>
      <w:r>
        <w:t xml:space="preserve">(ROA*KAP) memiliki nilai sebesar 66,679 mempunyai arti apabila setiap interaksi </w:t>
      </w:r>
      <w:r w:rsidRPr="00DE2DB8">
        <w:t xml:space="preserve">profitabilitas dengan reputasi kantor akuntan publik </w:t>
      </w:r>
      <w:r>
        <w:t>meningkat satu satuan, maka audit delay akan meningkat sebesar 66,679 hari dengan asumsi variabel lainnya konstan.</w:t>
      </w:r>
    </w:p>
    <w:p w:rsidR="008516BE" w:rsidRPr="00965A25" w:rsidRDefault="008516BE" w:rsidP="008516BE">
      <w:pPr>
        <w:pStyle w:val="Default"/>
        <w:spacing w:line="480" w:lineRule="auto"/>
        <w:ind w:firstLine="567"/>
        <w:jc w:val="both"/>
        <w:rPr>
          <w:iCs/>
        </w:rPr>
      </w:pPr>
      <w:r>
        <w:t xml:space="preserve">Koefisien moderat antara solvabilitas dengan reputasi kantor akuntan publik </w:t>
      </w:r>
      <w:r w:rsidRPr="00965A25">
        <w:rPr>
          <w:iCs/>
        </w:rPr>
        <w:t>(</w:t>
      </w:r>
      <w:r>
        <w:t xml:space="preserve">LEV*KAP) memiliki nilai sebesar 5,612 </w:t>
      </w:r>
      <w:r w:rsidRPr="00965A25">
        <w:rPr>
          <w:iCs/>
        </w:rPr>
        <w:t>mempunyai arti apabila setiap interaksi solvabilitas dengan reputasi kantor akuntan publik meningkat satu satuan, maka audit delay akan meningkat sebesar 5,612 hari dengan asumsi variabel lainnya konstan.</w:t>
      </w:r>
    </w:p>
    <w:p w:rsidR="008516BE" w:rsidRDefault="008516BE" w:rsidP="001C03D2">
      <w:pPr>
        <w:pStyle w:val="Default"/>
        <w:spacing w:line="480" w:lineRule="auto"/>
        <w:ind w:firstLine="567"/>
        <w:jc w:val="both"/>
        <w:rPr>
          <w:iCs/>
        </w:rPr>
      </w:pPr>
      <w:r w:rsidRPr="00064C64">
        <w:rPr>
          <w:iCs/>
        </w:rPr>
        <w:t>Koefisien determinan pada model regresi moderasi dilihat dari nilai Ad</w:t>
      </w:r>
      <w:r>
        <w:rPr>
          <w:iCs/>
        </w:rPr>
        <w:t>justed R2. Berdasarkan tabel 3</w:t>
      </w:r>
      <w:r w:rsidRPr="00064C64">
        <w:rPr>
          <w:iCs/>
        </w:rPr>
        <w:t xml:space="preserve"> dapat di lihat bahwa</w:t>
      </w:r>
      <w:r>
        <w:rPr>
          <w:iCs/>
        </w:rPr>
        <w:t xml:space="preserve"> nilai Adjusted R</w:t>
      </w:r>
      <w:r w:rsidRPr="00291876">
        <w:rPr>
          <w:iCs/>
          <w:vertAlign w:val="superscript"/>
        </w:rPr>
        <w:t xml:space="preserve">2 </w:t>
      </w:r>
      <w:r>
        <w:rPr>
          <w:iCs/>
        </w:rPr>
        <w:t xml:space="preserve">sebesar 0,139 yang berarti bahwa 13,9% varian audit delay </w:t>
      </w:r>
      <w:r w:rsidRPr="00064C64">
        <w:rPr>
          <w:iCs/>
        </w:rPr>
        <w:t>dapat dijelaskan oleh variabel</w:t>
      </w:r>
      <w:r>
        <w:rPr>
          <w:iCs/>
        </w:rPr>
        <w:t xml:space="preserve"> profitabilitas, variabel solvabilitas dan reputasi kantor akuntan publik </w:t>
      </w:r>
      <w:r w:rsidRPr="00064C64">
        <w:rPr>
          <w:iCs/>
        </w:rPr>
        <w:t>sebagai pe</w:t>
      </w:r>
      <w:r>
        <w:rPr>
          <w:iCs/>
        </w:rPr>
        <w:t>moderasi. Sedangkan sisanya 86,1</w:t>
      </w:r>
      <w:r w:rsidRPr="00064C64">
        <w:rPr>
          <w:iCs/>
        </w:rPr>
        <w:t>% dijelaskan oleh variabel-variabel lain yang tidak dimasukkan dalam model.</w:t>
      </w:r>
    </w:p>
    <w:p w:rsidR="008516BE" w:rsidRDefault="008516BE" w:rsidP="008516BE">
      <w:pPr>
        <w:pStyle w:val="Default"/>
        <w:spacing w:line="480" w:lineRule="auto"/>
        <w:ind w:firstLine="567"/>
        <w:jc w:val="both"/>
        <w:rPr>
          <w:iCs/>
        </w:rPr>
      </w:pPr>
      <w:r>
        <w:rPr>
          <w:iCs/>
        </w:rPr>
        <w:t xml:space="preserve">Uji </w:t>
      </w:r>
      <w:r w:rsidR="003E75F1">
        <w:rPr>
          <w:iCs/>
        </w:rPr>
        <w:t xml:space="preserve">F </w:t>
      </w:r>
      <w:r w:rsidRPr="00580D34">
        <w:rPr>
          <w:iCs/>
        </w:rPr>
        <w:t>digunakan untuk melihat kelayakan model penelitian</w:t>
      </w:r>
      <w:r>
        <w:rPr>
          <w:iCs/>
        </w:rPr>
        <w:t xml:space="preserve">. Uji ini pada dasarnya </w:t>
      </w:r>
      <w:r w:rsidRPr="00986588">
        <w:rPr>
          <w:iCs/>
        </w:rPr>
        <w:t>digunakan untuk menguji signifikansi secara serempak semua variabel bebas terhadap variabe</w:t>
      </w:r>
      <w:r>
        <w:rPr>
          <w:iCs/>
        </w:rPr>
        <w:t>l terikat. Berdasarkan tabel 3</w:t>
      </w:r>
      <w:r w:rsidRPr="00986588">
        <w:rPr>
          <w:iCs/>
        </w:rPr>
        <w:t xml:space="preserve"> dapat dilihat </w:t>
      </w:r>
      <w:r>
        <w:rPr>
          <w:iCs/>
        </w:rPr>
        <w:t>bahwa nilai Sig. F sebesar 0,006</w:t>
      </w:r>
      <w:r w:rsidRPr="00986588">
        <w:rPr>
          <w:iCs/>
        </w:rPr>
        <w:t xml:space="preserve"> lebih kecil dari pada </w:t>
      </w:r>
      <w:r>
        <w:rPr>
          <w:iCs/>
        </w:rPr>
        <w:t>0,</w:t>
      </w:r>
      <w:r w:rsidRPr="00986588">
        <w:rPr>
          <w:iCs/>
        </w:rPr>
        <w:t xml:space="preserve">05, yang artinya variabel </w:t>
      </w:r>
      <w:r>
        <w:rPr>
          <w:iCs/>
        </w:rPr>
        <w:t>profitabilitas, variabel solvabilitas dan reputasi kantor akuntan publik</w:t>
      </w:r>
      <w:r w:rsidRPr="00986588">
        <w:rPr>
          <w:iCs/>
        </w:rPr>
        <w:t xml:space="preserve"> seca</w:t>
      </w:r>
      <w:r>
        <w:rPr>
          <w:iCs/>
        </w:rPr>
        <w:t>ra serempak berpengaruh terhadap audit delay dan model regresi</w:t>
      </w:r>
      <w:r w:rsidRPr="00F22053">
        <w:rPr>
          <w:iCs/>
        </w:rPr>
        <w:t>yang digunakan dianggap layak uji</w:t>
      </w:r>
      <w:r w:rsidRPr="00986588">
        <w:rPr>
          <w:iCs/>
        </w:rPr>
        <w:t>.</w:t>
      </w:r>
    </w:p>
    <w:p w:rsidR="008516BE" w:rsidRDefault="008516BE" w:rsidP="008516BE">
      <w:pPr>
        <w:pStyle w:val="Default"/>
        <w:spacing w:line="480" w:lineRule="auto"/>
        <w:ind w:firstLine="567"/>
        <w:jc w:val="both"/>
        <w:rPr>
          <w:iCs/>
        </w:rPr>
      </w:pPr>
      <w:r>
        <w:rPr>
          <w:iCs/>
        </w:rPr>
        <w:lastRenderedPageBreak/>
        <w:t>Uji t pada model regresi pada penelitian ini digunakan untuk mengetahui seberapa besar pengaruh masing-masing variabel bebas secara individual pada variabel terikat. Hasil uji parsial (u</w:t>
      </w:r>
      <w:r w:rsidRPr="003411B0">
        <w:rPr>
          <w:iCs/>
        </w:rPr>
        <w:t>ji</w:t>
      </w:r>
      <w:r>
        <w:rPr>
          <w:iCs/>
        </w:rPr>
        <w:t xml:space="preserve"> t) dapat dilihat dalam Tabel 3.</w:t>
      </w:r>
    </w:p>
    <w:p w:rsidR="008516BE" w:rsidRDefault="008516BE" w:rsidP="008516BE">
      <w:pPr>
        <w:pStyle w:val="Default"/>
        <w:spacing w:line="480" w:lineRule="auto"/>
        <w:jc w:val="both"/>
        <w:rPr>
          <w:color w:val="000000" w:themeColor="text1"/>
        </w:rPr>
      </w:pPr>
      <w:r>
        <w:rPr>
          <w:iCs/>
        </w:rPr>
        <w:tab/>
      </w:r>
      <w:r w:rsidRPr="003411B0">
        <w:rPr>
          <w:iCs/>
        </w:rPr>
        <w:t xml:space="preserve">Pada Tabel </w:t>
      </w:r>
      <w:r>
        <w:rPr>
          <w:iCs/>
        </w:rPr>
        <w:t>3</w:t>
      </w:r>
      <w:r w:rsidRPr="003411B0">
        <w:rPr>
          <w:iCs/>
        </w:rPr>
        <w:t xml:space="preserve"> dapat dilihat bahwa nilai t pada prof</w:t>
      </w:r>
      <w:r>
        <w:rPr>
          <w:iCs/>
        </w:rPr>
        <w:t xml:space="preserve">itabilitas sebesar </w:t>
      </w:r>
      <w:r w:rsidRPr="00771DF6">
        <w:rPr>
          <w:iCs/>
        </w:rPr>
        <w:t>-2,509</w:t>
      </w:r>
      <w:r w:rsidRPr="003411B0">
        <w:rPr>
          <w:iCs/>
        </w:rPr>
        <w:t>dan memili</w:t>
      </w:r>
      <w:r>
        <w:rPr>
          <w:iCs/>
        </w:rPr>
        <w:t xml:space="preserve">ki tingkat signifikansi sebesar </w:t>
      </w:r>
      <w:r w:rsidRPr="000526D7">
        <w:rPr>
          <w:iCs/>
        </w:rPr>
        <w:t>0,014</w:t>
      </w:r>
      <w:r>
        <w:rPr>
          <w:iCs/>
        </w:rPr>
        <w:t xml:space="preserve"> lebih kecil </w:t>
      </w:r>
      <w:r w:rsidRPr="003411B0">
        <w:rPr>
          <w:iCs/>
        </w:rPr>
        <w:t>dari alpha 0,05.</w:t>
      </w:r>
      <w:r>
        <w:rPr>
          <w:iCs/>
        </w:rPr>
        <w:t xml:space="preserve"> Hal ini berarti profitabilitas berpengaruh negatif</w:t>
      </w:r>
      <w:r w:rsidRPr="003411B0">
        <w:rPr>
          <w:iCs/>
        </w:rPr>
        <w:t xml:space="preserve"> terhadap audit delay. </w:t>
      </w:r>
      <w:r w:rsidRPr="000526D7">
        <w:rPr>
          <w:iCs/>
        </w:rPr>
        <w:t xml:space="preserve">Pada Tabel </w:t>
      </w:r>
      <w:r>
        <w:rPr>
          <w:iCs/>
        </w:rPr>
        <w:t>3</w:t>
      </w:r>
      <w:r w:rsidRPr="000526D7">
        <w:rPr>
          <w:iCs/>
        </w:rPr>
        <w:t xml:space="preserve"> dapat dilih</w:t>
      </w:r>
      <w:r>
        <w:rPr>
          <w:iCs/>
        </w:rPr>
        <w:t xml:space="preserve">at nilai t solvabilitas sebesar </w:t>
      </w:r>
      <w:r w:rsidRPr="000526D7">
        <w:rPr>
          <w:iCs/>
        </w:rPr>
        <w:t xml:space="preserve">-2,628dan memiliki </w:t>
      </w:r>
      <w:r>
        <w:rPr>
          <w:iCs/>
        </w:rPr>
        <w:t xml:space="preserve">tingkat signifikansi sebesar </w:t>
      </w:r>
      <w:r w:rsidRPr="000526D7">
        <w:rPr>
          <w:iCs/>
        </w:rPr>
        <w:t>0,010lebih kecil dari alpha 0,05. Hal ini berarti solvabilitas berpengaruh negatif terhadap audit delay.</w:t>
      </w:r>
      <w:r>
        <w:rPr>
          <w:iCs/>
        </w:rPr>
        <w:t xml:space="preserve"> Pada tabel 3 dapat dilihat bahwa interaksi antara profitabilitas dengan reputasi kantor akuntan publik </w:t>
      </w:r>
      <w:r>
        <w:t>(ROA*KAP) memiliki tingkat signifikansi sebesar sebesar 0,076</w:t>
      </w:r>
      <w:r>
        <w:rPr>
          <w:iCs/>
        </w:rPr>
        <w:t xml:space="preserve"> lebih besar dari alpha 0,05. Hal ini berarti H</w:t>
      </w:r>
      <w:r>
        <w:rPr>
          <w:iCs/>
          <w:vertAlign w:val="subscript"/>
        </w:rPr>
        <w:t>0</w:t>
      </w:r>
      <w:r>
        <w:rPr>
          <w:iCs/>
        </w:rPr>
        <w:t xml:space="preserve"> diterima dan H</w:t>
      </w:r>
      <w:r>
        <w:rPr>
          <w:iCs/>
          <w:vertAlign w:val="subscript"/>
        </w:rPr>
        <w:t>3</w:t>
      </w:r>
      <w:r>
        <w:rPr>
          <w:iCs/>
        </w:rPr>
        <w:t xml:space="preserve"> ditolak, yang artinya reputasi kantor akuntan publik tidak mampu memoderasi pengaruh profitabilitas pada audit delay. Pada tabel 3 dapat dilihat bahwa interaksi antara solvabilitas dengan reputasi kantor akuntan publik (</w:t>
      </w:r>
      <w:r>
        <w:t xml:space="preserve">LEV*KAP) memiliki tingkat signifikansi sebesar 0,610 </w:t>
      </w:r>
      <w:r>
        <w:rPr>
          <w:iCs/>
        </w:rPr>
        <w:t xml:space="preserve">lebih besar dari pada alpha 0,05. Hal ini berarti </w:t>
      </w:r>
      <w:r>
        <w:t>H</w:t>
      </w:r>
      <w:r>
        <w:rPr>
          <w:vertAlign w:val="subscript"/>
        </w:rPr>
        <w:t>0</w:t>
      </w:r>
      <w:r>
        <w:t xml:space="preserve"> diterima dan H</w:t>
      </w:r>
      <w:r>
        <w:rPr>
          <w:vertAlign w:val="subscript"/>
        </w:rPr>
        <w:t>4</w:t>
      </w:r>
      <w:r>
        <w:t xml:space="preserve"> ditolak, yang artinya reputasi kantor akuntan publik tidak mampu memoderasi pengaruh </w:t>
      </w:r>
      <w:r w:rsidRPr="00675937">
        <w:rPr>
          <w:color w:val="000000" w:themeColor="text1"/>
        </w:rPr>
        <w:t>solvabilitas pada audit delay.</w:t>
      </w:r>
    </w:p>
    <w:p w:rsidR="008516BE" w:rsidRDefault="008516BE" w:rsidP="008516BE">
      <w:pPr>
        <w:pStyle w:val="Default"/>
        <w:spacing w:line="480" w:lineRule="auto"/>
        <w:ind w:firstLine="567"/>
        <w:jc w:val="both"/>
        <w:rPr>
          <w:color w:val="000000" w:themeColor="text1"/>
        </w:rPr>
      </w:pPr>
      <w:r w:rsidRPr="00675937">
        <w:rPr>
          <w:color w:val="000000" w:themeColor="text1"/>
        </w:rPr>
        <w:t xml:space="preserve">Berdasarkan data yang disajikan pada Tabel </w:t>
      </w:r>
      <w:r>
        <w:rPr>
          <w:color w:val="000000" w:themeColor="text1"/>
        </w:rPr>
        <w:t>3</w:t>
      </w:r>
      <w:r w:rsidRPr="00675937">
        <w:rPr>
          <w:color w:val="000000" w:themeColor="text1"/>
        </w:rPr>
        <w:t xml:space="preserve"> dapat dilihat bahwa profit</w:t>
      </w:r>
      <w:r>
        <w:rPr>
          <w:color w:val="000000" w:themeColor="text1"/>
        </w:rPr>
        <w:t xml:space="preserve">abilitas memiliki nilai sebesar </w:t>
      </w:r>
      <w:r w:rsidRPr="00771DF6">
        <w:rPr>
          <w:color w:val="000000" w:themeColor="text1"/>
        </w:rPr>
        <w:t>-2,509</w:t>
      </w:r>
      <w:r>
        <w:rPr>
          <w:color w:val="000000" w:themeColor="text1"/>
        </w:rPr>
        <w:t xml:space="preserve"> dengan tingkat signifikan </w:t>
      </w:r>
      <w:r w:rsidRPr="00771DF6">
        <w:rPr>
          <w:color w:val="000000" w:themeColor="text1"/>
        </w:rPr>
        <w:t>0,014</w:t>
      </w:r>
      <w:r>
        <w:rPr>
          <w:color w:val="000000" w:themeColor="text1"/>
        </w:rPr>
        <w:t xml:space="preserve"> lebih besar dari 0,05. Hal ini berarti hipotesis pertama </w:t>
      </w:r>
      <w:r w:rsidRPr="00771DF6">
        <w:rPr>
          <w:color w:val="000000" w:themeColor="text1"/>
        </w:rPr>
        <w:t>(H</w:t>
      </w:r>
      <w:r>
        <w:rPr>
          <w:color w:val="000000" w:themeColor="text1"/>
          <w:vertAlign w:val="subscript"/>
        </w:rPr>
        <w:t>1</w:t>
      </w:r>
      <w:r>
        <w:rPr>
          <w:color w:val="000000" w:themeColor="text1"/>
        </w:rPr>
        <w:t xml:space="preserve">) diterima, yaitu profitabilitas berpengaruh </w:t>
      </w:r>
      <w:r w:rsidRPr="00771DF6">
        <w:rPr>
          <w:color w:val="000000" w:themeColor="text1"/>
        </w:rPr>
        <w:t>pada audit delay.</w:t>
      </w:r>
      <w:r w:rsidRPr="00F25BB1">
        <w:rPr>
          <w:color w:val="000000" w:themeColor="text1"/>
        </w:rPr>
        <w:t>Hasil ini menunjukkan</w:t>
      </w:r>
      <w:r>
        <w:rPr>
          <w:color w:val="000000" w:themeColor="text1"/>
        </w:rPr>
        <w:t xml:space="preserve"> bahwa perusahaan yang memiliki tingkat profitabilitas </w:t>
      </w:r>
      <w:r w:rsidRPr="00F25BB1">
        <w:rPr>
          <w:color w:val="000000" w:themeColor="text1"/>
        </w:rPr>
        <w:t>yang tinggi akan memperpendek rentang audit delay.</w:t>
      </w:r>
      <w:r>
        <w:rPr>
          <w:color w:val="000000" w:themeColor="text1"/>
        </w:rPr>
        <w:t xml:space="preserve"> P</w:t>
      </w:r>
      <w:r w:rsidRPr="005A2581">
        <w:rPr>
          <w:color w:val="000000" w:themeColor="text1"/>
        </w:rPr>
        <w:t xml:space="preserve">erusahaan yang </w:t>
      </w:r>
      <w:r w:rsidRPr="005A2581">
        <w:rPr>
          <w:color w:val="000000" w:themeColor="text1"/>
        </w:rPr>
        <w:lastRenderedPageBreak/>
        <w:t xml:space="preserve">memiliki tingkat </w:t>
      </w:r>
      <w:r>
        <w:rPr>
          <w:color w:val="000000" w:themeColor="text1"/>
        </w:rPr>
        <w:t xml:space="preserve">profitabilitas tinggi cenderung </w:t>
      </w:r>
      <w:r w:rsidRPr="005A2581">
        <w:rPr>
          <w:color w:val="000000" w:themeColor="text1"/>
        </w:rPr>
        <w:t>ingin segera mempublikasikan</w:t>
      </w:r>
      <w:r>
        <w:rPr>
          <w:color w:val="000000" w:themeColor="text1"/>
        </w:rPr>
        <w:t xml:space="preserve"> laporan keuangannya, sebab hal tersebut merupakan </w:t>
      </w:r>
      <w:r>
        <w:rPr>
          <w:i/>
          <w:color w:val="000000" w:themeColor="text1"/>
        </w:rPr>
        <w:t xml:space="preserve">good news </w:t>
      </w:r>
      <w:r w:rsidRPr="005A2581">
        <w:rPr>
          <w:color w:val="000000" w:themeColor="text1"/>
        </w:rPr>
        <w:t>yang akan m</w:t>
      </w:r>
      <w:r>
        <w:rPr>
          <w:color w:val="000000" w:themeColor="text1"/>
        </w:rPr>
        <w:t xml:space="preserve">empertinggi nilai perusahaan di mata pihak-pihak </w:t>
      </w:r>
      <w:r w:rsidRPr="005A2581">
        <w:rPr>
          <w:color w:val="000000" w:themeColor="text1"/>
        </w:rPr>
        <w:t xml:space="preserve">berkepentingan. </w:t>
      </w:r>
      <w:r w:rsidRPr="00BA1D61">
        <w:rPr>
          <w:color w:val="000000" w:themeColor="text1"/>
        </w:rPr>
        <w:t xml:space="preserve">Perusahaan dengan profitabilitas yang tinggi berarti perusahaan dapat menghasilkan laba yang tinggi bagi perusahaan maupun bagi para pemegang saham. Jadi, </w:t>
      </w:r>
      <w:r>
        <w:rPr>
          <w:color w:val="000000" w:themeColor="text1"/>
        </w:rPr>
        <w:t xml:space="preserve">perusahaan </w:t>
      </w:r>
      <w:r w:rsidRPr="00BA1D61">
        <w:rPr>
          <w:color w:val="000000" w:themeColor="text1"/>
        </w:rPr>
        <w:t xml:space="preserve">memiliki intensif yang besar untuk menerbitkan laporan keuangan lebih cepat untuk memberikan sinyal positif kepada para pengguna laporan keuangan khususnya investor. Perusahaan yang memiliki profitabilitas yang lebih tinggi membutuhkan waktu dalam pengauditan laporan keuangan lebih cepat dikarenakan keharusan untuk menyampaikan kabar baik secepatnya kepada publik. </w:t>
      </w:r>
      <w:r w:rsidRPr="005A2581">
        <w:rPr>
          <w:color w:val="000000" w:themeColor="text1"/>
        </w:rPr>
        <w:t>Sementara pad</w:t>
      </w:r>
      <w:r>
        <w:rPr>
          <w:color w:val="000000" w:themeColor="text1"/>
        </w:rPr>
        <w:t xml:space="preserve">a tingkat profitabilitas rendah cenderung terjadi </w:t>
      </w:r>
      <w:r w:rsidRPr="005A2581">
        <w:rPr>
          <w:color w:val="000000" w:themeColor="text1"/>
        </w:rPr>
        <w:t>kemunduran publikasi laporan keuangan.</w:t>
      </w:r>
      <w:r w:rsidRPr="00BA1D61">
        <w:rPr>
          <w:color w:val="000000" w:themeColor="text1"/>
        </w:rPr>
        <w:t xml:space="preserve">Hasil penelitian ini sejalan dengan penelitian </w:t>
      </w:r>
      <w:r>
        <w:rPr>
          <w:color w:val="000000" w:themeColor="text1"/>
        </w:rPr>
        <w:t xml:space="preserve">penelitian Halim (2000) &amp; Subekti dan Widiyanti (2004) </w:t>
      </w:r>
      <w:r w:rsidRPr="00BA1D61">
        <w:rPr>
          <w:color w:val="000000" w:themeColor="text1"/>
        </w:rPr>
        <w:t>yang me</w:t>
      </w:r>
      <w:r>
        <w:rPr>
          <w:color w:val="000000" w:themeColor="text1"/>
        </w:rPr>
        <w:t xml:space="preserve">ngemukakan bahwa profitabilitas </w:t>
      </w:r>
      <w:r w:rsidRPr="00BA1D61">
        <w:rPr>
          <w:color w:val="000000" w:themeColor="text1"/>
        </w:rPr>
        <w:t>berpengaruh terhadap audit delay</w:t>
      </w:r>
      <w:r>
        <w:rPr>
          <w:color w:val="000000" w:themeColor="text1"/>
        </w:rPr>
        <w:t>.</w:t>
      </w:r>
    </w:p>
    <w:p w:rsidR="008516BE" w:rsidRPr="00A27AB2" w:rsidRDefault="008516BE" w:rsidP="008516BE">
      <w:pPr>
        <w:pStyle w:val="Default"/>
        <w:spacing w:line="480" w:lineRule="auto"/>
        <w:ind w:firstLine="567"/>
        <w:jc w:val="both"/>
        <w:rPr>
          <w:iCs/>
          <w:color w:val="000000" w:themeColor="text1"/>
        </w:rPr>
      </w:pPr>
      <w:r w:rsidRPr="00CD41C4">
        <w:rPr>
          <w:iCs/>
        </w:rPr>
        <w:t>Berdasarkan data yang disajikan pad</w:t>
      </w:r>
      <w:r>
        <w:rPr>
          <w:iCs/>
        </w:rPr>
        <w:t xml:space="preserve">a Tabel 3 dapat dilihat bahwa </w:t>
      </w:r>
      <w:r w:rsidRPr="004554C0">
        <w:rPr>
          <w:iCs/>
          <w:color w:val="000000" w:themeColor="text1"/>
        </w:rPr>
        <w:t xml:space="preserve">solvabilitas memiliki nilai sebesar </w:t>
      </w:r>
      <w:r w:rsidRPr="00771DF6">
        <w:rPr>
          <w:iCs/>
          <w:color w:val="000000" w:themeColor="text1"/>
        </w:rPr>
        <w:t>-2,628</w:t>
      </w:r>
      <w:r w:rsidRPr="004554C0">
        <w:rPr>
          <w:iCs/>
          <w:color w:val="000000" w:themeColor="text1"/>
        </w:rPr>
        <w:t xml:space="preserve">dengan tingkat signifikan </w:t>
      </w:r>
      <w:r w:rsidRPr="00771DF6">
        <w:rPr>
          <w:iCs/>
          <w:color w:val="000000" w:themeColor="text1"/>
        </w:rPr>
        <w:t>0,010</w:t>
      </w:r>
      <w:r w:rsidRPr="004554C0">
        <w:rPr>
          <w:iCs/>
          <w:color w:val="000000" w:themeColor="text1"/>
        </w:rPr>
        <w:t>lebih kecil dari 0,05. Hal ini berarti hipotesis kedua (H</w:t>
      </w:r>
      <w:r w:rsidRPr="004554C0">
        <w:rPr>
          <w:iCs/>
          <w:color w:val="000000" w:themeColor="text1"/>
          <w:vertAlign w:val="subscript"/>
        </w:rPr>
        <w:t>2</w:t>
      </w:r>
      <w:r w:rsidRPr="004554C0">
        <w:rPr>
          <w:iCs/>
          <w:color w:val="000000" w:themeColor="text1"/>
        </w:rPr>
        <w:t>) diterima,</w:t>
      </w:r>
      <w:r>
        <w:rPr>
          <w:iCs/>
          <w:color w:val="000000" w:themeColor="text1"/>
        </w:rPr>
        <w:t xml:space="preserve"> yaitu solvabilitas berpengaruh </w:t>
      </w:r>
      <w:r w:rsidRPr="004554C0">
        <w:rPr>
          <w:iCs/>
          <w:color w:val="000000" w:themeColor="text1"/>
        </w:rPr>
        <w:t xml:space="preserve">pada audit delay. </w:t>
      </w:r>
      <w:r w:rsidRPr="004554C0">
        <w:rPr>
          <w:color w:val="000000" w:themeColor="text1"/>
        </w:rPr>
        <w:t>Hasil ini menunjukkan bahwa perusahaan yang memiliki rasio hutang</w:t>
      </w:r>
      <w:r>
        <w:rPr>
          <w:color w:val="000000" w:themeColor="text1"/>
        </w:rPr>
        <w:t xml:space="preserve"> yang tinggi akan memperpendek rentang </w:t>
      </w:r>
      <w:r>
        <w:rPr>
          <w:iCs/>
          <w:color w:val="000000" w:themeColor="text1"/>
        </w:rPr>
        <w:t>audit delay</w:t>
      </w:r>
      <w:r w:rsidRPr="004554C0">
        <w:rPr>
          <w:i/>
          <w:iCs/>
          <w:color w:val="000000" w:themeColor="text1"/>
        </w:rPr>
        <w:t>.</w:t>
      </w:r>
      <w:r>
        <w:rPr>
          <w:iCs/>
          <w:color w:val="000000" w:themeColor="text1"/>
        </w:rPr>
        <w:t xml:space="preserve"> Abdulla (1996), berpendapat bahwa peningkatan jumlah hutang yang digunakan, akan memberikan tekanan pada perusahaan untuk menyediakan laporan keuangan yang diaudit lebih cepat kepada kreditur. Perusahaan yang memiliki hutang yang relatif tinggi harus mempublikasikan </w:t>
      </w:r>
      <w:r>
        <w:rPr>
          <w:iCs/>
          <w:color w:val="000000" w:themeColor="text1"/>
        </w:rPr>
        <w:lastRenderedPageBreak/>
        <w:t xml:space="preserve">laporan audit lebih cepat, hal ini untuk meyakinkan pemegang saham yang mungkin mengurangi tingkat resiko dalam pengembalian ekuitas.Menurut Almilia dan Setyadi (2006), “solvabilitas yang buruk merupakan </w:t>
      </w:r>
      <w:r w:rsidRPr="002961D8">
        <w:rPr>
          <w:i/>
          <w:iCs/>
          <w:color w:val="000000" w:themeColor="text1"/>
        </w:rPr>
        <w:t>bad news</w:t>
      </w:r>
      <w:r>
        <w:rPr>
          <w:iCs/>
          <w:color w:val="000000" w:themeColor="text1"/>
        </w:rPr>
        <w:t xml:space="preserve"> bagi perusahaan sehingga perusahaan cenderung ‘memoles’ terlebih dahulu sebelum laporan keuangan disajikan”. Semakin besar kewajiban suatu entitas cenderung akan mendesak auditor untuk menyelesaikan audit lebih cepat. Karena semakin besar kewajiban maka pengawasan oleh kreditor semakin tinggi, sehingga memberikan tekanan kepada perusahaan untuk mempublikasikan laporan keuangan auditan untuk mengembalikan tingkat kepercayaan para investor, sehingga mengurangi tingkat resiko pengembalian modal mereka.</w:t>
      </w:r>
    </w:p>
    <w:p w:rsidR="008516BE" w:rsidRPr="0076594E" w:rsidRDefault="008516BE" w:rsidP="008516BE">
      <w:pPr>
        <w:pStyle w:val="Default"/>
        <w:spacing w:line="480" w:lineRule="auto"/>
        <w:ind w:firstLine="567"/>
        <w:jc w:val="both"/>
        <w:rPr>
          <w:color w:val="000000" w:themeColor="text1"/>
        </w:rPr>
      </w:pPr>
      <w:r w:rsidRPr="004554C0">
        <w:rPr>
          <w:color w:val="000000" w:themeColor="text1"/>
        </w:rPr>
        <w:t xml:space="preserve">Tingginya proporsi hutang terhadap total aset akan menimbulkan risiko kebangkrutan yang lebih besar dalam perusahaan. Sehingga dapat membuat auditor berpikir laporan keuangan dengan proporsi hutang yang besar kurang memiliki keandalan daripada proporsi hutang yang normal (Kurniawan, 2011).Rasio hutang yang tinggi menandakan perusahaan memiliki hutang yang lebih besar daripada kemampuan asetnya sendiri untuk melunasi hutang tersebut, hal tersebut dapat diartikan bahwa perusahaan memiliki risiko lebih besar atas kegagalan dalam melunasi seluruh kewajibannya. Hal tersebut membuat auditor lebih besar dalam menentukan risiko audit sehingga bukti yang dibutuhkan juga harus lebih banyak dikumpulkan yang artinya pelaksanaan audit menjadi lebih lama dan berdampak pada lamanya penyelesaian laporan auditan. Tingkat hutang yang tinggi akan membutuhkan banyak konfirmasi yang dimana akan memakan waktu penyelesaian </w:t>
      </w:r>
      <w:r w:rsidRPr="004554C0">
        <w:rPr>
          <w:color w:val="000000" w:themeColor="text1"/>
        </w:rPr>
        <w:lastRenderedPageBreak/>
        <w:t>audit, sebab auditor memerlukan bukti yang lebih bisa dipercayai yaitu konfi</w:t>
      </w:r>
      <w:r>
        <w:rPr>
          <w:color w:val="000000" w:themeColor="text1"/>
        </w:rPr>
        <w:t>r</w:t>
      </w:r>
      <w:r w:rsidRPr="004554C0">
        <w:rPr>
          <w:color w:val="000000" w:themeColor="text1"/>
        </w:rPr>
        <w:t xml:space="preserve">masi dari pihak ekternal. Hasil penelitian ini sejalan dengan penelitian yang dilakukan oleh Wirakusuma (2004) dan Dewi Lestari (2010) yang menyatakan bahwa solvabilitas berpengaruh terhadap audit delay. </w:t>
      </w:r>
    </w:p>
    <w:p w:rsidR="008516BE" w:rsidRPr="004554C0" w:rsidRDefault="008516BE" w:rsidP="008516BE">
      <w:pPr>
        <w:pStyle w:val="Default"/>
        <w:spacing w:line="480" w:lineRule="auto"/>
        <w:ind w:firstLine="567"/>
        <w:jc w:val="both"/>
        <w:rPr>
          <w:iCs/>
          <w:color w:val="000000" w:themeColor="text1"/>
        </w:rPr>
      </w:pPr>
      <w:r w:rsidRPr="004554C0">
        <w:rPr>
          <w:iCs/>
          <w:color w:val="000000" w:themeColor="text1"/>
        </w:rPr>
        <w:t>Berdasarkan da</w:t>
      </w:r>
      <w:r>
        <w:rPr>
          <w:iCs/>
          <w:color w:val="000000" w:themeColor="text1"/>
        </w:rPr>
        <w:t>ta yang disajikan pada Tabel 3</w:t>
      </w:r>
      <w:r w:rsidRPr="004554C0">
        <w:rPr>
          <w:iCs/>
          <w:color w:val="000000" w:themeColor="text1"/>
        </w:rPr>
        <w:t xml:space="preserve"> dapat dilihat bahwa interaksi antara profitabilitas dengan reputasi kantor akuntan publik memiliki nilai β sebesar 66,679 dengan tingkat signifikansi 0,076 lebih besar dari 0,05. Hal ini berarti reputasi ka</w:t>
      </w:r>
      <w:r>
        <w:rPr>
          <w:iCs/>
          <w:color w:val="000000" w:themeColor="text1"/>
        </w:rPr>
        <w:t xml:space="preserve">ntor akuntan publik tidak mampu memoderasi pengaruh profitabilitas terhadap </w:t>
      </w:r>
      <w:r w:rsidRPr="004554C0">
        <w:rPr>
          <w:iCs/>
          <w:color w:val="000000" w:themeColor="text1"/>
        </w:rPr>
        <w:t>audit delay. Dengan demikian hipotesis ketiga (H</w:t>
      </w:r>
      <w:r w:rsidRPr="004554C0">
        <w:rPr>
          <w:iCs/>
          <w:color w:val="000000" w:themeColor="text1"/>
          <w:vertAlign w:val="subscript"/>
        </w:rPr>
        <w:t>3</w:t>
      </w:r>
      <w:r w:rsidRPr="004554C0">
        <w:rPr>
          <w:iCs/>
          <w:color w:val="000000" w:themeColor="text1"/>
        </w:rPr>
        <w:t>), yaitu reputasi kantor akuntan publik dapat memoderasi profitabilitas pada audit delay ditolak.</w:t>
      </w:r>
    </w:p>
    <w:p w:rsidR="008516BE" w:rsidRDefault="008516BE" w:rsidP="008516BE">
      <w:pPr>
        <w:pStyle w:val="Default"/>
        <w:spacing w:line="480" w:lineRule="auto"/>
        <w:ind w:firstLine="567"/>
        <w:jc w:val="both"/>
        <w:rPr>
          <w:bCs/>
          <w:color w:val="000000" w:themeColor="text1"/>
        </w:rPr>
      </w:pPr>
      <w:r w:rsidRPr="004554C0">
        <w:rPr>
          <w:color w:val="000000" w:themeColor="text1"/>
        </w:rPr>
        <w:t>Hasil penelitian ini menunjukkan bahwa reputasi kantor akuntan publik tidak memberikan dampak kepada pengaruh profitabilitas pada audit delay</w:t>
      </w:r>
      <w:r>
        <w:rPr>
          <w:color w:val="000000" w:themeColor="text1"/>
        </w:rPr>
        <w:t xml:space="preserve">. Tinggi rendahnya laba yang dihasilkan perusahaan tidak mempengaruhi proses audit. </w:t>
      </w:r>
      <w:r>
        <w:rPr>
          <w:iCs/>
          <w:color w:val="000000" w:themeColor="text1"/>
        </w:rPr>
        <w:t xml:space="preserve">Dengan kemampuan perusahaan untuk menghasilkan laba yang tinggi ataupun rendah, baik KAP </w:t>
      </w:r>
      <w:r w:rsidRPr="00121C27">
        <w:rPr>
          <w:i/>
          <w:iCs/>
          <w:color w:val="000000" w:themeColor="text1"/>
        </w:rPr>
        <w:t>Big Four</w:t>
      </w:r>
      <w:r>
        <w:rPr>
          <w:iCs/>
          <w:color w:val="000000" w:themeColor="text1"/>
        </w:rPr>
        <w:t xml:space="preserve"> maupun KAP </w:t>
      </w:r>
      <w:r w:rsidRPr="00121C27">
        <w:rPr>
          <w:i/>
          <w:iCs/>
          <w:color w:val="000000" w:themeColor="text1"/>
        </w:rPr>
        <w:t>non Big Four</w:t>
      </w:r>
      <w:r>
        <w:rPr>
          <w:iCs/>
          <w:color w:val="000000" w:themeColor="text1"/>
        </w:rPr>
        <w:t xml:space="preserve"> akan berusaha untuk menunjukkan profesionalisme yang tinggi. Reputasi auditor tidak hanya didasarkan pada nama besar KAP saja, namun juga pada kualitas audit yang dihasilkan oleh KAP tersebut. </w:t>
      </w:r>
      <w:r>
        <w:rPr>
          <w:color w:val="000000" w:themeColor="text1"/>
        </w:rPr>
        <w:t xml:space="preserve">Bagi KAP yang berafiliasi dengan </w:t>
      </w:r>
      <w:r w:rsidRPr="00ED29AB">
        <w:rPr>
          <w:i/>
          <w:color w:val="000000" w:themeColor="text1"/>
        </w:rPr>
        <w:t>Big Four</w:t>
      </w:r>
      <w:r>
        <w:rPr>
          <w:color w:val="000000" w:themeColor="text1"/>
        </w:rPr>
        <w:t xml:space="preserve">, kualitas hasil audit perlu dijaga agar dapat mempertahankan citra mereka terhadap publik sehingga tetap dipercaya oleh klien untuk memberikan jasa audit. Sama halnya dengan KAP </w:t>
      </w:r>
      <w:r w:rsidRPr="00ED29AB">
        <w:rPr>
          <w:i/>
          <w:color w:val="000000" w:themeColor="text1"/>
        </w:rPr>
        <w:t>non Big Four</w:t>
      </w:r>
      <w:r>
        <w:rPr>
          <w:color w:val="000000" w:themeColor="text1"/>
        </w:rPr>
        <w:t xml:space="preserve">, kualitas hasil audit perlu dijaga guna membangun citra yang baik terhadap publik sehingga KAP </w:t>
      </w:r>
      <w:r w:rsidRPr="00ED29AB">
        <w:rPr>
          <w:i/>
          <w:color w:val="000000" w:themeColor="text1"/>
        </w:rPr>
        <w:t>non Big Four</w:t>
      </w:r>
      <w:r>
        <w:rPr>
          <w:color w:val="000000" w:themeColor="text1"/>
        </w:rPr>
        <w:t xml:space="preserve"> tetap dapat bersaing dengan KAP yang berafiliasi </w:t>
      </w:r>
      <w:r>
        <w:rPr>
          <w:color w:val="000000" w:themeColor="text1"/>
        </w:rPr>
        <w:lastRenderedPageBreak/>
        <w:t xml:space="preserve">dengan </w:t>
      </w:r>
      <w:r w:rsidRPr="00ED29AB">
        <w:rPr>
          <w:i/>
          <w:color w:val="000000" w:themeColor="text1"/>
        </w:rPr>
        <w:t>Big Four</w:t>
      </w:r>
      <w:r>
        <w:rPr>
          <w:color w:val="000000" w:themeColor="text1"/>
        </w:rPr>
        <w:t xml:space="preserve">. </w:t>
      </w:r>
      <w:r w:rsidRPr="00E349AA">
        <w:rPr>
          <w:color w:val="000000" w:themeColor="text1"/>
        </w:rPr>
        <w:t xml:space="preserve">Penelitian ini didukung oleh hasil penelitian Suharli dan Harahap (2008), dan Carslaw dan Kaplan (1991) </w:t>
      </w:r>
      <w:r w:rsidRPr="00E349AA">
        <w:rPr>
          <w:bCs/>
          <w:color w:val="000000" w:themeColor="text1"/>
        </w:rPr>
        <w:t>yang menyatakan bahwa profitabilitas tida</w:t>
      </w:r>
      <w:r>
        <w:rPr>
          <w:bCs/>
          <w:color w:val="000000" w:themeColor="text1"/>
        </w:rPr>
        <w:t>k berpengaruh pada audit delay.</w:t>
      </w:r>
    </w:p>
    <w:p w:rsidR="008516BE" w:rsidRDefault="008516BE" w:rsidP="008516BE">
      <w:pPr>
        <w:pStyle w:val="Default"/>
        <w:spacing w:line="480" w:lineRule="auto"/>
        <w:ind w:firstLine="567"/>
        <w:jc w:val="both"/>
      </w:pPr>
      <w:r>
        <w:t>Berdasarkan data yang disajikan pada Tabel 3 dapat dilihat bahwa interaksi antara solvabilitas dengan reputasi kantor akuntan publik memiliki nilai β sebesar 5,612 dengan tingkat signifikansi sebesar 0,610 lebih besar dari 0,05. Hal ini berarti reputasi kantor akuntan publik tidak mampu memoderasi solvabilitas pada audit delay. Dengan demikian hipotesis keempat (H</w:t>
      </w:r>
      <w:r>
        <w:rPr>
          <w:vertAlign w:val="subscript"/>
        </w:rPr>
        <w:t>4</w:t>
      </w:r>
      <w:r>
        <w:t>) yang menyatakan bahwa reputasi kantor akuntan publik dapat memoderasi pengaruhsolvabilitas pada audit delay ditolak.</w:t>
      </w:r>
    </w:p>
    <w:p w:rsidR="008516BE" w:rsidRDefault="008516BE" w:rsidP="008516BE">
      <w:pPr>
        <w:pStyle w:val="Default"/>
        <w:spacing w:after="240" w:line="480" w:lineRule="auto"/>
        <w:ind w:firstLine="567"/>
        <w:jc w:val="both"/>
        <w:rPr>
          <w:color w:val="000000" w:themeColor="text1"/>
        </w:rPr>
      </w:pPr>
      <w:r w:rsidRPr="00607703">
        <w:rPr>
          <w:color w:val="000000" w:themeColor="text1"/>
        </w:rPr>
        <w:t>Hasil peneliti</w:t>
      </w:r>
      <w:r>
        <w:rPr>
          <w:color w:val="000000" w:themeColor="text1"/>
        </w:rPr>
        <w:t xml:space="preserve">an ini menunjukkan bahwa adanya reputasi kantor akuntan publik </w:t>
      </w:r>
      <w:r w:rsidRPr="00607703">
        <w:rPr>
          <w:color w:val="000000" w:themeColor="text1"/>
        </w:rPr>
        <w:t xml:space="preserve">tidak memberikan dampak kepada </w:t>
      </w:r>
      <w:r>
        <w:rPr>
          <w:color w:val="000000" w:themeColor="text1"/>
        </w:rPr>
        <w:t xml:space="preserve">pengaruh solvabilitas pada audit delay. </w:t>
      </w:r>
      <w:r w:rsidRPr="0085774D">
        <w:t>Berdasarkan SPAP, auditor melaksanakan prosedur audit bagi perusahaan baik yang memiliki total utang besar maupun kecil tidak akan mempengaruhi proses penyelesaian audit laporan keuangan, karena auditor yang ditunjuk p</w:t>
      </w:r>
      <w:r>
        <w:t>asti telah menyediakan waktu ses</w:t>
      </w:r>
      <w:r w:rsidRPr="0085774D">
        <w:t>uai dengan kebutuhan jangka waktu untuk menyelesaikan proses pengauditan utang.</w:t>
      </w:r>
      <w:r>
        <w:rPr>
          <w:color w:val="000000" w:themeColor="text1"/>
        </w:rPr>
        <w:t xml:space="preserve">KAP yang berafiliasi dengan </w:t>
      </w:r>
      <w:r w:rsidRPr="0085774D">
        <w:rPr>
          <w:i/>
          <w:color w:val="000000" w:themeColor="text1"/>
        </w:rPr>
        <w:t>Big Four</w:t>
      </w:r>
      <w:r>
        <w:rPr>
          <w:color w:val="000000" w:themeColor="text1"/>
        </w:rPr>
        <w:t xml:space="preserve"> maupun KAP </w:t>
      </w:r>
      <w:r w:rsidRPr="0085774D">
        <w:rPr>
          <w:i/>
          <w:color w:val="000000" w:themeColor="text1"/>
        </w:rPr>
        <w:t>non Big Four</w:t>
      </w:r>
      <w:r>
        <w:rPr>
          <w:color w:val="000000" w:themeColor="text1"/>
        </w:rPr>
        <w:t xml:space="preserve"> senantiasa berusaha untuk menjaga kualitas hasil auditnya yang diantaranya adalah memenuhi ketepatan waktu agar KAP mereka tetap dipercaya untuk memberikan jasa audit. </w:t>
      </w:r>
      <w:r w:rsidRPr="00672708">
        <w:t>Hasil penelitian ini sejalan dengan penelitian</w:t>
      </w:r>
      <w:r>
        <w:t xml:space="preserve"> Yugo Trianto (2006) dan A</w:t>
      </w:r>
      <w:r w:rsidRPr="00001356">
        <w:t xml:space="preserve">ny </w:t>
      </w:r>
      <w:r>
        <w:t>Y</w:t>
      </w:r>
      <w:r w:rsidRPr="00001356">
        <w:t>ulian</w:t>
      </w:r>
      <w:r>
        <w:t xml:space="preserve">ti (2011) </w:t>
      </w:r>
      <w:r w:rsidRPr="00001356">
        <w:t>yan</w:t>
      </w:r>
      <w:r>
        <w:t>g menyatakan bahwa solvabilitas tidak berpengaruh pada audit delay.</w:t>
      </w:r>
    </w:p>
    <w:p w:rsidR="006F66A1" w:rsidRDefault="006F66A1" w:rsidP="00675287">
      <w:pPr>
        <w:pStyle w:val="Default"/>
        <w:spacing w:line="480" w:lineRule="auto"/>
        <w:rPr>
          <w:b/>
          <w:bCs/>
        </w:rPr>
      </w:pPr>
      <w:r w:rsidRPr="00BB4350">
        <w:rPr>
          <w:b/>
          <w:bCs/>
        </w:rPr>
        <w:lastRenderedPageBreak/>
        <w:t>SIMPULAN DAN SARAN</w:t>
      </w:r>
    </w:p>
    <w:p w:rsidR="0091203A" w:rsidRDefault="0091203A" w:rsidP="00F74F9A">
      <w:pPr>
        <w:pStyle w:val="Default"/>
        <w:spacing w:line="480" w:lineRule="auto"/>
        <w:jc w:val="both"/>
        <w:rPr>
          <w:b/>
          <w:color w:val="000000" w:themeColor="text1"/>
        </w:rPr>
      </w:pPr>
      <w:r>
        <w:rPr>
          <w:color w:val="000000" w:themeColor="text1"/>
        </w:rPr>
        <w:t xml:space="preserve">Kesimpulan yang dapat diambil dalam penelitian ini berdasarkan hasil </w:t>
      </w:r>
      <w:r w:rsidRPr="001B294B">
        <w:rPr>
          <w:color w:val="000000" w:themeColor="text1"/>
        </w:rPr>
        <w:t>analisis</w:t>
      </w:r>
      <w:r>
        <w:rPr>
          <w:color w:val="000000" w:themeColor="text1"/>
        </w:rPr>
        <w:t xml:space="preserve"> dan pembahasan pada bab-bab sebelumnya adalah profitabilitas berpengaruh pada audit delay, yang artinya hasil penelitian ini menunjukkan bahwa dengan tingkat profitabilitas yang tinggi di dalam suatu perusahaan akan memperpendek rentang audit delay. Solvabilitas berpengaruh </w:t>
      </w:r>
      <w:r w:rsidRPr="00262EBA">
        <w:rPr>
          <w:color w:val="000000" w:themeColor="text1"/>
        </w:rPr>
        <w:t xml:space="preserve">pada audit delay. </w:t>
      </w:r>
      <w:r w:rsidRPr="00D72047">
        <w:rPr>
          <w:color w:val="000000" w:themeColor="text1"/>
        </w:rPr>
        <w:t>Hasil ini menunjukkan bahwa perusahaan yang memiliki rasio hutang yang tinggi akan memperpendek rentang audit delay.</w:t>
      </w:r>
      <w:r>
        <w:rPr>
          <w:color w:val="000000" w:themeColor="text1"/>
        </w:rPr>
        <w:t xml:space="preserve"> Reputasi kantor akuntan publik tidak mampu memoderasi pengaruh profitabilitas terhadap audit delay. Hal ini berarti reputasi kantor akuntan publik tidak memberikan dampak kepada pengaruh profitabilitas terhadap audit delay. Reputasi kantor akuntan publik tidak mampu memoderasi pengaruh solvabilitas terhadap audit delay. Hal ini berarti reputasi kantor akuntan publik tidak memberikan dampak kepada pengaruh solvabilitas terhadap audit delay. </w:t>
      </w:r>
    </w:p>
    <w:p w:rsidR="0091203A" w:rsidRDefault="0091203A" w:rsidP="0091203A">
      <w:pPr>
        <w:pStyle w:val="Default"/>
        <w:spacing w:after="240" w:line="480" w:lineRule="auto"/>
        <w:ind w:firstLine="567"/>
        <w:jc w:val="both"/>
        <w:rPr>
          <w:b/>
          <w:color w:val="000000" w:themeColor="text1"/>
        </w:rPr>
      </w:pPr>
      <w:r w:rsidRPr="0093610E">
        <w:rPr>
          <w:lang w:eastAsia="ja-JP"/>
        </w:rPr>
        <w:t>Beberapa keterbatasan mem</w:t>
      </w:r>
      <w:r>
        <w:rPr>
          <w:lang w:eastAsia="ja-JP"/>
        </w:rPr>
        <w:t>p</w:t>
      </w:r>
      <w:r w:rsidRPr="0093610E">
        <w:rPr>
          <w:lang w:eastAsia="ja-JP"/>
        </w:rPr>
        <w:t>engaruhi hasil penelitian dan perlu menjadi bahan pertimbangan penelitian sela</w:t>
      </w:r>
      <w:r>
        <w:rPr>
          <w:lang w:eastAsia="ja-JP"/>
        </w:rPr>
        <w:t>njutnya. Saran yang dapat diberikan berdasarkan hasil penelitian ini adalah p</w:t>
      </w:r>
      <w:r>
        <w:rPr>
          <w:color w:val="000000" w:themeColor="text1"/>
        </w:rPr>
        <w:t>enelitian ini hanya menggunakan perusahaan properti yang terdaftar di Bursa Efek Indonesia. Pada penelitian selanjutnya disarankan juga untuk menggunakan perusahaan lainnya selain perusahaan properti, agar ada perbandingan dari penelitian sebelumnya. M</w:t>
      </w:r>
      <w:r w:rsidRPr="00AE7121">
        <w:rPr>
          <w:color w:val="000000" w:themeColor="text1"/>
        </w:rPr>
        <w:t>emperpanjang periode amatan, karena semakinlama interval waktu pengamatan, semakin besar kesempatan untukmemberikan gambaran hasil penelitian yang maksimal</w:t>
      </w:r>
      <w:r>
        <w:rPr>
          <w:color w:val="000000" w:themeColor="text1"/>
        </w:rPr>
        <w:t xml:space="preserve">. Bagi peneliti selanjutnya dapat menambah variabel independen yang diduga dapat mempengaruhi audit delay seperti jenis industri dan </w:t>
      </w:r>
      <w:r>
        <w:rPr>
          <w:color w:val="000000" w:themeColor="text1"/>
        </w:rPr>
        <w:lastRenderedPageBreak/>
        <w:t xml:space="preserve">umur perusahaan </w:t>
      </w:r>
      <w:r w:rsidRPr="008E20F6">
        <w:t>sehingga hasil yang didapat dan variasi dari variabel independen semakin beragam</w:t>
      </w:r>
      <w:r>
        <w:rPr>
          <w:color w:val="000000" w:themeColor="text1"/>
        </w:rPr>
        <w:t>.</w:t>
      </w:r>
    </w:p>
    <w:p w:rsidR="006F66A1" w:rsidRDefault="00F74F9A" w:rsidP="00675287">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rPr>
        <w:t xml:space="preserve">DAFTAR </w:t>
      </w:r>
      <w:r w:rsidR="006F66A1" w:rsidRPr="00BB4350">
        <w:rPr>
          <w:rFonts w:ascii="Times New Roman" w:hAnsi="Times New Roman"/>
          <w:b/>
          <w:sz w:val="24"/>
          <w:szCs w:val="24"/>
        </w:rPr>
        <w:t>REFERENSI</w:t>
      </w:r>
    </w:p>
    <w:p w:rsidR="007262B8" w:rsidRDefault="007262B8" w:rsidP="007262B8">
      <w:pPr>
        <w:tabs>
          <w:tab w:val="left" w:pos="1080"/>
        </w:tabs>
        <w:spacing w:after="200"/>
        <w:ind w:left="539" w:hanging="539"/>
        <w:jc w:val="both"/>
        <w:rPr>
          <w:rFonts w:ascii="Times New Roman" w:hAnsi="Times New Roman"/>
        </w:rPr>
      </w:pPr>
      <w:r>
        <w:rPr>
          <w:rFonts w:ascii="Times New Roman" w:hAnsi="Times New Roman"/>
        </w:rPr>
        <w:t>Almilia, Luciana Spica dan Lucas, Setiady.</w:t>
      </w:r>
      <w:r w:rsidR="0018653E">
        <w:rPr>
          <w:rFonts w:ascii="Times New Roman" w:hAnsi="Times New Roman"/>
        </w:rPr>
        <w:t xml:space="preserve"> 2006. Faktor-f</w:t>
      </w:r>
      <w:r>
        <w:rPr>
          <w:rFonts w:ascii="Times New Roman" w:hAnsi="Times New Roman"/>
        </w:rPr>
        <w:t xml:space="preserve">aktor yang </w:t>
      </w:r>
      <w:r w:rsidRPr="00E05444">
        <w:rPr>
          <w:rFonts w:ascii="Times New Roman" w:hAnsi="Times New Roman"/>
        </w:rPr>
        <w:t>Mempengaruhi Penyelesaian Penyajian L</w:t>
      </w:r>
      <w:r>
        <w:rPr>
          <w:rFonts w:ascii="Times New Roman" w:hAnsi="Times New Roman"/>
        </w:rPr>
        <w:t>aporan Keuangan pada Perusahaan yang Terdaftar di BEJ</w:t>
      </w:r>
      <w:r w:rsidRPr="00E05444">
        <w:rPr>
          <w:rFonts w:ascii="Times New Roman" w:hAnsi="Times New Roman"/>
        </w:rPr>
        <w:t xml:space="preserve">. </w:t>
      </w:r>
      <w:r w:rsidRPr="00356002">
        <w:rPr>
          <w:rFonts w:ascii="Times New Roman" w:hAnsi="Times New Roman"/>
          <w:i/>
        </w:rPr>
        <w:t>Simposium Nasional Akuntansi IX</w:t>
      </w:r>
      <w:r>
        <w:rPr>
          <w:rFonts w:ascii="Times New Roman" w:hAnsi="Times New Roman"/>
        </w:rPr>
        <w:t xml:space="preserve"> Ikatan Akuntan </w:t>
      </w:r>
      <w:r w:rsidRPr="00E05444">
        <w:rPr>
          <w:rFonts w:ascii="Times New Roman" w:hAnsi="Times New Roman"/>
        </w:rPr>
        <w:t>Indonesia</w:t>
      </w:r>
      <w:r>
        <w:rPr>
          <w:rFonts w:ascii="Times New Roman" w:hAnsi="Times New Roman"/>
        </w:rPr>
        <w:t>.</w:t>
      </w:r>
    </w:p>
    <w:p w:rsidR="007262B8" w:rsidRDefault="007262B8" w:rsidP="007262B8">
      <w:pPr>
        <w:tabs>
          <w:tab w:val="left" w:pos="1080"/>
        </w:tabs>
        <w:spacing w:after="200"/>
        <w:ind w:left="539" w:hanging="539"/>
        <w:jc w:val="both"/>
        <w:rPr>
          <w:rFonts w:ascii="Times New Roman" w:hAnsi="Times New Roman"/>
        </w:rPr>
      </w:pPr>
      <w:r>
        <w:rPr>
          <w:rFonts w:ascii="Times New Roman" w:hAnsi="Times New Roman"/>
          <w:color w:val="000000" w:themeColor="text1"/>
        </w:rPr>
        <w:t xml:space="preserve">Ashton, Robert </w:t>
      </w:r>
      <w:r w:rsidRPr="00E05444">
        <w:rPr>
          <w:rFonts w:ascii="Times New Roman" w:hAnsi="Times New Roman"/>
        </w:rPr>
        <w:t>H., John J. Willingha</w:t>
      </w:r>
      <w:r w:rsidR="00B27578">
        <w:rPr>
          <w:rFonts w:ascii="Times New Roman" w:hAnsi="Times New Roman"/>
        </w:rPr>
        <w:t>m, dan Robert K. Elliot. 1989</w:t>
      </w:r>
      <w:r>
        <w:rPr>
          <w:rFonts w:ascii="Times New Roman" w:hAnsi="Times New Roman"/>
        </w:rPr>
        <w:t xml:space="preserve">. </w:t>
      </w:r>
      <w:r w:rsidRPr="00E05444">
        <w:rPr>
          <w:rFonts w:ascii="Times New Roman" w:hAnsi="Times New Roman"/>
        </w:rPr>
        <w:t>An Em</w:t>
      </w:r>
      <w:r>
        <w:rPr>
          <w:rFonts w:ascii="Times New Roman" w:hAnsi="Times New Roman"/>
        </w:rPr>
        <w:t>pirical Analysis of Audit delay</w:t>
      </w:r>
      <w:r w:rsidRPr="00E05444">
        <w:rPr>
          <w:rFonts w:ascii="Times New Roman" w:hAnsi="Times New Roman"/>
        </w:rPr>
        <w:t xml:space="preserve">, </w:t>
      </w:r>
      <w:r w:rsidRPr="00786E0D">
        <w:rPr>
          <w:rFonts w:ascii="Times New Roman" w:hAnsi="Times New Roman"/>
          <w:i/>
        </w:rPr>
        <w:t>Journal of Accounting Research 25</w:t>
      </w:r>
      <w:r w:rsidRPr="00E05444">
        <w:rPr>
          <w:rFonts w:ascii="Times New Roman" w:hAnsi="Times New Roman"/>
        </w:rPr>
        <w:t>(2)Autumn:275-292.</w:t>
      </w:r>
    </w:p>
    <w:p w:rsidR="007262B8" w:rsidRDefault="007262B8" w:rsidP="007262B8">
      <w:pPr>
        <w:tabs>
          <w:tab w:val="left" w:pos="1080"/>
        </w:tabs>
        <w:spacing w:after="200"/>
        <w:ind w:left="539" w:hanging="539"/>
        <w:jc w:val="both"/>
        <w:rPr>
          <w:rFonts w:ascii="Times New Roman" w:hAnsi="Times New Roman"/>
        </w:rPr>
      </w:pPr>
      <w:r w:rsidRPr="00457710">
        <w:rPr>
          <w:rFonts w:ascii="Times New Roman" w:hAnsi="Times New Roman"/>
        </w:rPr>
        <w:t>Carslaw, C.</w:t>
      </w:r>
      <w:r>
        <w:rPr>
          <w:rFonts w:ascii="Times New Roman" w:hAnsi="Times New Roman"/>
        </w:rPr>
        <w:t xml:space="preserve">A.P.N., and Kaplan, S.E. 1991. </w:t>
      </w:r>
      <w:r w:rsidRPr="00457710">
        <w:rPr>
          <w:rFonts w:ascii="Times New Roman" w:hAnsi="Times New Roman"/>
        </w:rPr>
        <w:t>An Examination of Audit Delay: Fu</w:t>
      </w:r>
      <w:r>
        <w:rPr>
          <w:rFonts w:ascii="Times New Roman" w:hAnsi="Times New Roman"/>
        </w:rPr>
        <w:t>rther Evidnece from New Zealand</w:t>
      </w:r>
      <w:r w:rsidRPr="00457710">
        <w:rPr>
          <w:rFonts w:ascii="Times New Roman" w:hAnsi="Times New Roman"/>
        </w:rPr>
        <w:t xml:space="preserve">. </w:t>
      </w:r>
      <w:r w:rsidRPr="00786E0D">
        <w:rPr>
          <w:rFonts w:ascii="Times New Roman" w:hAnsi="Times New Roman"/>
          <w:i/>
        </w:rPr>
        <w:t>Accounting and Business Research</w:t>
      </w:r>
      <w:r w:rsidRPr="00457710">
        <w:rPr>
          <w:rFonts w:ascii="Times New Roman" w:hAnsi="Times New Roman"/>
        </w:rPr>
        <w:t>. Vol.22 (82), (Winter): pp:21-32.</w:t>
      </w:r>
    </w:p>
    <w:p w:rsidR="007262B8" w:rsidRDefault="007262B8" w:rsidP="007262B8">
      <w:pPr>
        <w:tabs>
          <w:tab w:val="left" w:pos="1080"/>
        </w:tabs>
        <w:spacing w:after="200"/>
        <w:ind w:left="539" w:hanging="539"/>
        <w:jc w:val="both"/>
        <w:rPr>
          <w:rFonts w:ascii="Times New Roman" w:hAnsi="Times New Roman"/>
        </w:rPr>
      </w:pPr>
      <w:r>
        <w:rPr>
          <w:rFonts w:ascii="Times New Roman" w:hAnsi="Times New Roman"/>
        </w:rPr>
        <w:t xml:space="preserve">Che-Ahmad, Ayoib. 2008. </w:t>
      </w:r>
      <w:r w:rsidRPr="00E05444">
        <w:rPr>
          <w:rFonts w:ascii="Times New Roman" w:hAnsi="Times New Roman"/>
        </w:rPr>
        <w:t>Audit Delay of Listed</w:t>
      </w:r>
      <w:r>
        <w:rPr>
          <w:rFonts w:ascii="Times New Roman" w:hAnsi="Times New Roman"/>
        </w:rPr>
        <w:t xml:space="preserve"> Companies: A Case of Malaysia</w:t>
      </w:r>
      <w:r w:rsidRPr="00E05444">
        <w:rPr>
          <w:rFonts w:ascii="Times New Roman" w:hAnsi="Times New Roman"/>
        </w:rPr>
        <w:t xml:space="preserve">, </w:t>
      </w:r>
      <w:r w:rsidRPr="00786E0D">
        <w:rPr>
          <w:rFonts w:ascii="Times New Roman" w:hAnsi="Times New Roman"/>
          <w:i/>
        </w:rPr>
        <w:t>International Bussines Research</w:t>
      </w:r>
      <w:r w:rsidRPr="00E05444">
        <w:rPr>
          <w:rFonts w:ascii="Times New Roman" w:hAnsi="Times New Roman"/>
        </w:rPr>
        <w:t xml:space="preserve"> Vol1 No.4 Hal32-39</w:t>
      </w:r>
    </w:p>
    <w:p w:rsidR="007262B8" w:rsidRDefault="007262B8" w:rsidP="007262B8">
      <w:pPr>
        <w:tabs>
          <w:tab w:val="left" w:pos="1080"/>
        </w:tabs>
        <w:spacing w:after="200"/>
        <w:ind w:left="539" w:hanging="539"/>
        <w:jc w:val="both"/>
        <w:rPr>
          <w:rFonts w:ascii="Times New Roman" w:hAnsi="Times New Roman"/>
        </w:rPr>
      </w:pPr>
      <w:r w:rsidRPr="00276835">
        <w:rPr>
          <w:rFonts w:ascii="Times New Roman" w:hAnsi="Times New Roman"/>
          <w:color w:val="000000" w:themeColor="text1"/>
        </w:rPr>
        <w:t>Doga</w:t>
      </w:r>
      <w:r>
        <w:rPr>
          <w:rFonts w:ascii="Times New Roman" w:hAnsi="Times New Roman"/>
          <w:color w:val="000000" w:themeColor="text1"/>
        </w:rPr>
        <w:t>n</w:t>
      </w:r>
      <w:r w:rsidRPr="00FC3F13">
        <w:rPr>
          <w:rFonts w:ascii="Times New Roman" w:hAnsi="Times New Roman"/>
        </w:rPr>
        <w:t>,</w:t>
      </w:r>
      <w:r>
        <w:rPr>
          <w:rFonts w:ascii="Times New Roman" w:hAnsi="Times New Roman"/>
        </w:rPr>
        <w:t xml:space="preserve"> Mustafa,</w:t>
      </w:r>
      <w:r w:rsidRPr="00FC3F13">
        <w:rPr>
          <w:rFonts w:ascii="Times New Roman" w:hAnsi="Times New Roman"/>
        </w:rPr>
        <w:t xml:space="preserve"> Ender Coskun and Orhan Celik</w:t>
      </w:r>
      <w:r>
        <w:rPr>
          <w:rFonts w:ascii="Times New Roman" w:hAnsi="Times New Roman"/>
        </w:rPr>
        <w:t xml:space="preserve">. 2007. Is Timing of Financial </w:t>
      </w:r>
      <w:r w:rsidRPr="00FC3F13">
        <w:rPr>
          <w:rFonts w:ascii="Times New Roman" w:hAnsi="Times New Roman"/>
        </w:rPr>
        <w:t>Reporting Related to Firm Performanc</w:t>
      </w:r>
      <w:r>
        <w:rPr>
          <w:rFonts w:ascii="Times New Roman" w:hAnsi="Times New Roman"/>
        </w:rPr>
        <w:t xml:space="preserve">e? An Examination on Ise Listed Companies. </w:t>
      </w:r>
      <w:r w:rsidRPr="00786E0D">
        <w:rPr>
          <w:rFonts w:ascii="Times New Roman" w:hAnsi="Times New Roman"/>
          <w:i/>
        </w:rPr>
        <w:t>International Research Journal of Finance and Economics</w:t>
      </w:r>
      <w:r>
        <w:rPr>
          <w:rFonts w:ascii="Times New Roman" w:hAnsi="Times New Roman"/>
        </w:rPr>
        <w:t xml:space="preserve">. </w:t>
      </w:r>
      <w:r w:rsidRPr="00FC3F13">
        <w:rPr>
          <w:rFonts w:ascii="Times New Roman" w:hAnsi="Times New Roman"/>
        </w:rPr>
        <w:t>Issue 12. Euro Journals Publishing, Inc.</w:t>
      </w:r>
    </w:p>
    <w:p w:rsidR="007262B8" w:rsidRDefault="00B27578" w:rsidP="007262B8">
      <w:pPr>
        <w:spacing w:after="200"/>
        <w:ind w:left="539" w:hanging="539"/>
        <w:jc w:val="both"/>
        <w:rPr>
          <w:rFonts w:ascii="Times New Roman" w:hAnsi="Times New Roman"/>
        </w:rPr>
      </w:pPr>
      <w:r>
        <w:rPr>
          <w:rFonts w:ascii="Times New Roman" w:hAnsi="Times New Roman"/>
        </w:rPr>
        <w:t>Halim, Abdul. 2000</w:t>
      </w:r>
      <w:r w:rsidR="007262B8" w:rsidRPr="00B40F6F">
        <w:rPr>
          <w:rFonts w:ascii="Times New Roman" w:hAnsi="Times New Roman"/>
        </w:rPr>
        <w:t xml:space="preserve">. </w:t>
      </w:r>
      <w:r w:rsidR="007262B8" w:rsidRPr="00560E68">
        <w:rPr>
          <w:rFonts w:ascii="Times New Roman" w:hAnsi="Times New Roman"/>
          <w:i/>
        </w:rPr>
        <w:t xml:space="preserve">Auditing (Dasar-dasar Audit Laporan Keuangan) </w:t>
      </w:r>
      <w:r w:rsidR="007262B8" w:rsidRPr="00560E68">
        <w:rPr>
          <w:rFonts w:ascii="Times New Roman" w:hAnsi="Times New Roman"/>
        </w:rPr>
        <w:t>Jilid 1 Edisi Ketiga.</w:t>
      </w:r>
      <w:r w:rsidR="007262B8" w:rsidRPr="00B40F6F">
        <w:rPr>
          <w:rFonts w:ascii="Times New Roman" w:hAnsi="Times New Roman"/>
        </w:rPr>
        <w:t xml:space="preserve"> Yogyakarta: UPP Akademi Manajemen Perusahaan YKPN.</w:t>
      </w:r>
    </w:p>
    <w:p w:rsidR="007262B8" w:rsidRPr="00A304E3" w:rsidRDefault="007262B8" w:rsidP="007262B8">
      <w:pPr>
        <w:spacing w:after="200"/>
        <w:ind w:left="539" w:hanging="539"/>
        <w:jc w:val="both"/>
        <w:rPr>
          <w:rFonts w:ascii="Times New Roman" w:hAnsi="Times New Roman"/>
        </w:rPr>
      </w:pPr>
      <w:r w:rsidRPr="00A05298">
        <w:rPr>
          <w:rFonts w:ascii="Times New Roman" w:hAnsi="Times New Roman"/>
          <w:color w:val="000000" w:themeColor="text1"/>
        </w:rPr>
        <w:t xml:space="preserve">Hanafi, </w:t>
      </w:r>
      <w:r w:rsidRPr="00A304E3">
        <w:rPr>
          <w:rFonts w:ascii="Times New Roman" w:hAnsi="Times New Roman"/>
        </w:rPr>
        <w:t xml:space="preserve">M.M dan Halim. (1996). </w:t>
      </w:r>
      <w:r w:rsidRPr="00560E68">
        <w:rPr>
          <w:rFonts w:ascii="Times New Roman" w:hAnsi="Times New Roman"/>
          <w:i/>
        </w:rPr>
        <w:t>Analisis Laporan Keuangan</w:t>
      </w:r>
      <w:r w:rsidRPr="00A304E3">
        <w:rPr>
          <w:rFonts w:ascii="Times New Roman" w:hAnsi="Times New Roman"/>
        </w:rPr>
        <w:t>. Edisi 1. Yogyakarta: UPP MMP YKPN.</w:t>
      </w:r>
    </w:p>
    <w:p w:rsidR="007262B8" w:rsidRDefault="007262B8" w:rsidP="007262B8">
      <w:pPr>
        <w:tabs>
          <w:tab w:val="left" w:pos="1080"/>
        </w:tabs>
        <w:spacing w:after="200"/>
        <w:ind w:left="539" w:hanging="539"/>
        <w:jc w:val="both"/>
        <w:rPr>
          <w:rFonts w:ascii="Times New Roman" w:hAnsi="Times New Roman"/>
        </w:rPr>
      </w:pPr>
      <w:r w:rsidRPr="00A304E3">
        <w:rPr>
          <w:rFonts w:ascii="Times New Roman" w:hAnsi="Times New Roman"/>
        </w:rPr>
        <w:t>Ha</w:t>
      </w:r>
      <w:r>
        <w:rPr>
          <w:rFonts w:ascii="Times New Roman" w:hAnsi="Times New Roman"/>
        </w:rPr>
        <w:t xml:space="preserve">w, I-M. Qi, D. and Wu W, 2000, </w:t>
      </w:r>
      <w:r w:rsidRPr="00A304E3">
        <w:rPr>
          <w:rFonts w:ascii="Times New Roman" w:hAnsi="Times New Roman"/>
        </w:rPr>
        <w:t>Timeliness of annual report release and</w:t>
      </w:r>
      <w:r>
        <w:rPr>
          <w:rFonts w:ascii="Times New Roman" w:hAnsi="Times New Roman"/>
        </w:rPr>
        <w:t xml:space="preserve"> market </w:t>
      </w:r>
      <w:r w:rsidRPr="00A304E3">
        <w:rPr>
          <w:rFonts w:ascii="Times New Roman" w:hAnsi="Times New Roman"/>
        </w:rPr>
        <w:t xml:space="preserve">reaction to earnings announcements </w:t>
      </w:r>
      <w:r>
        <w:rPr>
          <w:rFonts w:ascii="Times New Roman" w:hAnsi="Times New Roman"/>
        </w:rPr>
        <w:t>in an emerging capital market : the case of China</w:t>
      </w:r>
      <w:r w:rsidRPr="00A304E3">
        <w:rPr>
          <w:rFonts w:ascii="Times New Roman" w:hAnsi="Times New Roman"/>
        </w:rPr>
        <w:t xml:space="preserve">, </w:t>
      </w:r>
      <w:r w:rsidRPr="00560E68">
        <w:rPr>
          <w:rFonts w:ascii="Times New Roman" w:hAnsi="Times New Roman"/>
          <w:i/>
        </w:rPr>
        <w:t>Journal of International Financial Management and Accounting</w:t>
      </w:r>
      <w:r w:rsidRPr="00A304E3">
        <w:rPr>
          <w:rFonts w:ascii="Times New Roman" w:hAnsi="Times New Roman"/>
        </w:rPr>
        <w:t>, 11(2): 108-131.</w:t>
      </w:r>
    </w:p>
    <w:p w:rsidR="007262B8" w:rsidRDefault="007262B8" w:rsidP="007262B8">
      <w:pPr>
        <w:spacing w:after="200"/>
        <w:ind w:left="539" w:hanging="539"/>
        <w:jc w:val="both"/>
        <w:rPr>
          <w:rFonts w:ascii="Times New Roman" w:hAnsi="Times New Roman"/>
        </w:rPr>
      </w:pPr>
      <w:r>
        <w:rPr>
          <w:rFonts w:ascii="Times New Roman" w:hAnsi="Times New Roman"/>
        </w:rPr>
        <w:t xml:space="preserve">Kadir, Abdul. 2011. </w:t>
      </w:r>
      <w:r w:rsidRPr="00B40F6F">
        <w:rPr>
          <w:rFonts w:ascii="Times New Roman" w:hAnsi="Times New Roman"/>
        </w:rPr>
        <w:t>Faktor – Faktor yang Berpengaruh Terhadap Ketepatan Waktu Pelaporan Keuangan Studi Empiris Pa</w:t>
      </w:r>
      <w:r>
        <w:rPr>
          <w:rFonts w:ascii="Times New Roman" w:hAnsi="Times New Roman"/>
        </w:rPr>
        <w:t>da Perusahaan Manufaktur di BEJ</w:t>
      </w:r>
      <w:r w:rsidRPr="00B40F6F">
        <w:rPr>
          <w:rFonts w:ascii="Times New Roman" w:hAnsi="Times New Roman"/>
        </w:rPr>
        <w:t xml:space="preserve">. </w:t>
      </w:r>
      <w:r w:rsidRPr="00560E68">
        <w:rPr>
          <w:rFonts w:ascii="Times New Roman" w:hAnsi="Times New Roman"/>
          <w:i/>
        </w:rPr>
        <w:t>Jurnal Manajemen dan Akuntansi</w:t>
      </w:r>
      <w:r w:rsidRPr="00B40F6F">
        <w:rPr>
          <w:rFonts w:ascii="Times New Roman" w:hAnsi="Times New Roman"/>
        </w:rPr>
        <w:t>. Vol . 12 No. 1. Hal 1-12</w:t>
      </w:r>
    </w:p>
    <w:p w:rsidR="007262B8" w:rsidRDefault="007262B8" w:rsidP="007262B8">
      <w:pPr>
        <w:spacing w:after="200"/>
        <w:ind w:left="539" w:hanging="539"/>
        <w:jc w:val="both"/>
        <w:rPr>
          <w:rFonts w:ascii="Times New Roman" w:hAnsi="Times New Roman"/>
        </w:rPr>
      </w:pPr>
      <w:r w:rsidRPr="00457710">
        <w:rPr>
          <w:rFonts w:ascii="Times New Roman" w:hAnsi="Times New Roman"/>
        </w:rPr>
        <w:t xml:space="preserve">Kurniawan, Dadieng. 2011. Faktor – faktor yang Mempengaruhi Audit delay (Studi Empiris Pada Perusahaan Manufaktur yang Terdaftar di Bursa Efek Indonesia). </w:t>
      </w:r>
      <w:r w:rsidRPr="00560E68">
        <w:rPr>
          <w:rFonts w:ascii="Times New Roman" w:hAnsi="Times New Roman"/>
          <w:i/>
        </w:rPr>
        <w:lastRenderedPageBreak/>
        <w:t>Tesis</w:t>
      </w:r>
      <w:r w:rsidRPr="00457710">
        <w:rPr>
          <w:rFonts w:ascii="Times New Roman" w:hAnsi="Times New Roman"/>
        </w:rPr>
        <w:t>. Malang : Program Magister Akuntansi Pascasarjana Fakultas Ekonomi dan Bisnis Universitas Brawijaya</w:t>
      </w:r>
    </w:p>
    <w:p w:rsidR="007262B8" w:rsidRDefault="007262B8" w:rsidP="007262B8">
      <w:pPr>
        <w:spacing w:after="200"/>
        <w:ind w:left="539" w:hanging="539"/>
        <w:jc w:val="both"/>
        <w:rPr>
          <w:rFonts w:ascii="Times New Roman" w:hAnsi="Times New Roman"/>
        </w:rPr>
      </w:pPr>
      <w:r w:rsidRPr="00B77B66">
        <w:rPr>
          <w:rFonts w:ascii="Times New Roman" w:hAnsi="Times New Roman"/>
        </w:rPr>
        <w:t xml:space="preserve">Lawrence, Janice, and Barry Bryan. 1998. Characteristics Associated With Audit Delay In The Monitoring Of Low Income Housing Projects. </w:t>
      </w:r>
      <w:r w:rsidRPr="00560E68">
        <w:rPr>
          <w:rFonts w:ascii="Times New Roman" w:hAnsi="Times New Roman"/>
          <w:i/>
        </w:rPr>
        <w:t>Journal of Public Budgeting, Accounting &amp; Financial Management</w:t>
      </w:r>
      <w:r w:rsidRPr="00B77B66">
        <w:rPr>
          <w:rFonts w:ascii="Times New Roman" w:hAnsi="Times New Roman"/>
        </w:rPr>
        <w:t>. 10 (2): 173-191</w:t>
      </w:r>
    </w:p>
    <w:p w:rsidR="007262B8" w:rsidRDefault="007262B8" w:rsidP="007262B8">
      <w:pPr>
        <w:spacing w:after="200"/>
        <w:ind w:left="539" w:hanging="539"/>
        <w:jc w:val="both"/>
        <w:rPr>
          <w:rFonts w:ascii="Times New Roman" w:hAnsi="Times New Roman"/>
        </w:rPr>
      </w:pPr>
      <w:r w:rsidRPr="00B40F6F">
        <w:rPr>
          <w:rFonts w:ascii="Times New Roman" w:hAnsi="Times New Roman"/>
          <w:color w:val="000000" w:themeColor="text1"/>
        </w:rPr>
        <w:t xml:space="preserve">Lestari, </w:t>
      </w:r>
      <w:r w:rsidRPr="00B77B66">
        <w:rPr>
          <w:rFonts w:ascii="Times New Roman" w:hAnsi="Times New Roman"/>
        </w:rPr>
        <w:t xml:space="preserve">Dewi. 2010. Analisis Faktor Yang Mempengaruhi Audit delay (Studi Empiris pada Perusahaan Customer Goods yang terdaftar di Bursa Efek Indonesia). </w:t>
      </w:r>
      <w:r w:rsidRPr="00560E68">
        <w:rPr>
          <w:rFonts w:ascii="Times New Roman" w:hAnsi="Times New Roman"/>
          <w:i/>
        </w:rPr>
        <w:t>Skripsi</w:t>
      </w:r>
      <w:r w:rsidRPr="00B77B66">
        <w:rPr>
          <w:rFonts w:ascii="Times New Roman" w:hAnsi="Times New Roman"/>
        </w:rPr>
        <w:t>. Semarang : Jurusan Akuntansi Fakultas Ekonomi Universitas Diponergoro</w:t>
      </w:r>
    </w:p>
    <w:p w:rsidR="007262B8" w:rsidRDefault="007262B8" w:rsidP="007262B8">
      <w:pPr>
        <w:tabs>
          <w:tab w:val="left" w:pos="1080"/>
        </w:tabs>
        <w:spacing w:after="200"/>
        <w:ind w:left="539" w:hanging="539"/>
        <w:jc w:val="both"/>
        <w:rPr>
          <w:rFonts w:ascii="Times New Roman" w:hAnsi="Times New Roman"/>
        </w:rPr>
      </w:pPr>
      <w:r w:rsidRPr="001942F4">
        <w:rPr>
          <w:rFonts w:ascii="Times New Roman" w:hAnsi="Times New Roman"/>
          <w:color w:val="000000" w:themeColor="text1"/>
        </w:rPr>
        <w:t>Oktorina,</w:t>
      </w:r>
      <w:r w:rsidRPr="00ED0DC1">
        <w:rPr>
          <w:rFonts w:ascii="Times New Roman" w:hAnsi="Times New Roman"/>
        </w:rPr>
        <w:t xml:space="preserve"> Megaw</w:t>
      </w:r>
      <w:r>
        <w:rPr>
          <w:rFonts w:ascii="Times New Roman" w:hAnsi="Times New Roman"/>
        </w:rPr>
        <w:t xml:space="preserve">ati dan Michell Suharli. 2005. </w:t>
      </w:r>
      <w:r w:rsidRPr="00ED0DC1">
        <w:rPr>
          <w:rFonts w:ascii="Times New Roman" w:hAnsi="Times New Roman"/>
        </w:rPr>
        <w:t>Studi Empiris Terhadap Faktor Penentu Kepatuhan Ketepatan Wakt</w:t>
      </w:r>
      <w:r>
        <w:rPr>
          <w:rFonts w:ascii="Times New Roman" w:hAnsi="Times New Roman"/>
        </w:rPr>
        <w:t>u Pelaporan Keuangan</w:t>
      </w:r>
      <w:r w:rsidRPr="00ED0DC1">
        <w:rPr>
          <w:rFonts w:ascii="Times New Roman" w:hAnsi="Times New Roman"/>
        </w:rPr>
        <w:t xml:space="preserve">. </w:t>
      </w:r>
      <w:r w:rsidRPr="00560E68">
        <w:rPr>
          <w:rFonts w:ascii="Times New Roman" w:hAnsi="Times New Roman"/>
          <w:i/>
        </w:rPr>
        <w:t>Jurnal Ekonomi dan Bisnis</w:t>
      </w:r>
      <w:r w:rsidRPr="00ED0DC1">
        <w:rPr>
          <w:rFonts w:ascii="Times New Roman" w:hAnsi="Times New Roman"/>
        </w:rPr>
        <w:t>. Vol. 5. No.2. h. 119-132.</w:t>
      </w:r>
    </w:p>
    <w:p w:rsidR="007262B8" w:rsidRPr="00ED0DC1" w:rsidRDefault="007262B8" w:rsidP="007262B8">
      <w:pPr>
        <w:spacing w:after="200"/>
        <w:ind w:left="539" w:hanging="539"/>
        <w:jc w:val="both"/>
        <w:rPr>
          <w:rFonts w:ascii="Times New Roman" w:hAnsi="Times New Roman"/>
        </w:rPr>
      </w:pPr>
      <w:r w:rsidRPr="00ED0DC1">
        <w:rPr>
          <w:rFonts w:ascii="Times New Roman" w:hAnsi="Times New Roman"/>
        </w:rPr>
        <w:t>Stice, J. D., Stice, E. K., Skousen, K. F. 200</w:t>
      </w:r>
      <w:r>
        <w:rPr>
          <w:rFonts w:ascii="Times New Roman" w:hAnsi="Times New Roman"/>
        </w:rPr>
        <w:t>5. Intermediate Accounting 16</w:t>
      </w:r>
      <w:r w:rsidRPr="00ED0DC1">
        <w:rPr>
          <w:rFonts w:ascii="Times New Roman" w:hAnsi="Times New Roman"/>
          <w:vertAlign w:val="superscript"/>
        </w:rPr>
        <w:t>th</w:t>
      </w:r>
      <w:r w:rsidRPr="00ED0DC1">
        <w:rPr>
          <w:rFonts w:ascii="Times New Roman" w:hAnsi="Times New Roman"/>
        </w:rPr>
        <w:t>Edition. John Willey and Sons.</w:t>
      </w:r>
    </w:p>
    <w:p w:rsidR="007262B8" w:rsidRPr="00F94548" w:rsidRDefault="007262B8" w:rsidP="007262B8">
      <w:pPr>
        <w:spacing w:after="200"/>
        <w:ind w:left="539" w:hanging="539"/>
        <w:jc w:val="both"/>
        <w:rPr>
          <w:rFonts w:ascii="Times New Roman" w:hAnsi="Times New Roman"/>
          <w:color w:val="000000" w:themeColor="text1"/>
        </w:rPr>
      </w:pPr>
      <w:r w:rsidRPr="00F94548">
        <w:rPr>
          <w:rFonts w:ascii="Times New Roman" w:hAnsi="Times New Roman"/>
          <w:color w:val="000000" w:themeColor="text1"/>
        </w:rPr>
        <w:t>Subekti, I</w:t>
      </w:r>
      <w:r>
        <w:rPr>
          <w:rFonts w:ascii="Times New Roman" w:hAnsi="Times New Roman"/>
          <w:color w:val="000000" w:themeColor="text1"/>
        </w:rPr>
        <w:t xml:space="preserve">mam. dan N.W. Widiyanti. 2004. </w:t>
      </w:r>
      <w:r w:rsidRPr="00F94548">
        <w:rPr>
          <w:rFonts w:ascii="Times New Roman" w:hAnsi="Times New Roman"/>
          <w:color w:val="000000" w:themeColor="text1"/>
        </w:rPr>
        <w:t>Faktor-Faktor Yang Berpengaruh Te</w:t>
      </w:r>
      <w:r>
        <w:rPr>
          <w:rFonts w:ascii="Times New Roman" w:hAnsi="Times New Roman"/>
          <w:color w:val="000000" w:themeColor="text1"/>
        </w:rPr>
        <w:t>rhadap Audit Delay di Indonesia</w:t>
      </w:r>
      <w:r w:rsidRPr="00F94548">
        <w:rPr>
          <w:rFonts w:ascii="Times New Roman" w:hAnsi="Times New Roman"/>
          <w:color w:val="000000" w:themeColor="text1"/>
        </w:rPr>
        <w:t xml:space="preserve">, </w:t>
      </w:r>
      <w:r w:rsidRPr="00F94548">
        <w:rPr>
          <w:rFonts w:ascii="Times New Roman" w:hAnsi="Times New Roman"/>
          <w:i/>
          <w:color w:val="000000" w:themeColor="text1"/>
        </w:rPr>
        <w:t>Simposium Nasional Akuntansi VII</w:t>
      </w:r>
      <w:r w:rsidRPr="00F94548">
        <w:rPr>
          <w:rFonts w:ascii="Times New Roman" w:hAnsi="Times New Roman"/>
          <w:color w:val="000000" w:themeColor="text1"/>
        </w:rPr>
        <w:t>:991-1002.</w:t>
      </w:r>
    </w:p>
    <w:p w:rsidR="007262B8" w:rsidRDefault="007262B8" w:rsidP="007262B8">
      <w:pPr>
        <w:spacing w:after="200"/>
        <w:ind w:left="539" w:hanging="539"/>
        <w:jc w:val="both"/>
        <w:rPr>
          <w:rFonts w:ascii="Times New Roman" w:hAnsi="Times New Roman"/>
        </w:rPr>
      </w:pPr>
      <w:r w:rsidRPr="00ED0DC1">
        <w:rPr>
          <w:rFonts w:ascii="Times New Roman" w:hAnsi="Times New Roman"/>
        </w:rPr>
        <w:t xml:space="preserve">Sugiyono. 2013. </w:t>
      </w:r>
      <w:r w:rsidRPr="0047675C">
        <w:rPr>
          <w:rFonts w:ascii="Times New Roman" w:hAnsi="Times New Roman"/>
          <w:i/>
        </w:rPr>
        <w:t>Metode penelitian Bisnis</w:t>
      </w:r>
      <w:r w:rsidRPr="00ED0DC1">
        <w:rPr>
          <w:rFonts w:ascii="Times New Roman" w:hAnsi="Times New Roman"/>
        </w:rPr>
        <w:t>. Bandung: Alfabeta.</w:t>
      </w:r>
    </w:p>
    <w:p w:rsidR="007262B8" w:rsidRDefault="007262B8" w:rsidP="007262B8">
      <w:pPr>
        <w:autoSpaceDE w:val="0"/>
        <w:autoSpaceDN w:val="0"/>
        <w:adjustRightInd w:val="0"/>
        <w:spacing w:after="200"/>
        <w:ind w:left="539" w:hanging="539"/>
        <w:jc w:val="both"/>
        <w:rPr>
          <w:rFonts w:ascii="Times New Roman" w:hAnsi="Times New Roman"/>
        </w:rPr>
      </w:pPr>
      <w:r>
        <w:rPr>
          <w:rFonts w:ascii="Times New Roman" w:hAnsi="Times New Roman"/>
        </w:rPr>
        <w:t xml:space="preserve">Suharli dan Harahap. 2008. </w:t>
      </w:r>
      <w:r w:rsidRPr="00D3514A">
        <w:rPr>
          <w:rFonts w:ascii="Times New Roman" w:hAnsi="Times New Roman"/>
        </w:rPr>
        <w:t>Timeliness Laporan Keuangan di Indonesia (StudiEmpiris Terhadap Emiten Bursa Efe</w:t>
      </w:r>
      <w:r>
        <w:rPr>
          <w:rFonts w:ascii="Times New Roman" w:hAnsi="Times New Roman"/>
        </w:rPr>
        <w:t>k Jakarta</w:t>
      </w:r>
      <w:r w:rsidRPr="00D3514A">
        <w:rPr>
          <w:rFonts w:ascii="Times New Roman" w:hAnsi="Times New Roman"/>
        </w:rPr>
        <w:t xml:space="preserve">. </w:t>
      </w:r>
      <w:r w:rsidRPr="00D3514A">
        <w:rPr>
          <w:rFonts w:ascii="Times New Roman" w:hAnsi="Times New Roman"/>
          <w:i/>
          <w:iCs/>
        </w:rPr>
        <w:t>Media Riset Akuntansi,Auditing &amp; Informasi</w:t>
      </w:r>
      <w:r w:rsidRPr="00D3514A">
        <w:rPr>
          <w:rFonts w:ascii="Times New Roman" w:hAnsi="Times New Roman"/>
        </w:rPr>
        <w:t>. Vol. 5. No. 2. hal 97-116.</w:t>
      </w:r>
    </w:p>
    <w:p w:rsidR="007262B8" w:rsidRDefault="007262B8" w:rsidP="007262B8">
      <w:pPr>
        <w:spacing w:after="200"/>
        <w:ind w:left="539" w:hanging="539"/>
        <w:jc w:val="both"/>
        <w:rPr>
          <w:rFonts w:ascii="Times New Roman" w:hAnsi="Times New Roman"/>
        </w:rPr>
      </w:pPr>
      <w:r>
        <w:rPr>
          <w:rFonts w:ascii="Times New Roman" w:hAnsi="Times New Roman"/>
        </w:rPr>
        <w:t>Supriyati. 2007</w:t>
      </w:r>
      <w:r w:rsidRPr="00E870EA">
        <w:rPr>
          <w:rFonts w:ascii="Times New Roman" w:hAnsi="Times New Roman"/>
        </w:rPr>
        <w:t xml:space="preserve">. Analisis Faktor-faktor yang Mempengaruhi Audit Delay (Studi Empiris padaPerusahaan Manufaktur dan Finansial di Indonesia). </w:t>
      </w:r>
      <w:r w:rsidRPr="0047675C">
        <w:rPr>
          <w:rFonts w:ascii="Times New Roman" w:hAnsi="Times New Roman"/>
          <w:i/>
        </w:rPr>
        <w:t>Jurnal Ekonomi Bisnis dan Akuntansi</w:t>
      </w:r>
      <w:r w:rsidRPr="00E870EA">
        <w:rPr>
          <w:rFonts w:ascii="Times New Roman" w:hAnsi="Times New Roman"/>
        </w:rPr>
        <w:t>. Vol . 10 No. 3, hal 109-126.</w:t>
      </w:r>
    </w:p>
    <w:p w:rsidR="007262B8" w:rsidRDefault="007262B8" w:rsidP="007262B8">
      <w:pPr>
        <w:spacing w:after="200"/>
        <w:ind w:left="539" w:hanging="539"/>
        <w:jc w:val="both"/>
        <w:rPr>
          <w:rFonts w:ascii="Times New Roman" w:hAnsi="Times New Roman"/>
        </w:rPr>
      </w:pPr>
      <w:r w:rsidRPr="00D322AE">
        <w:rPr>
          <w:rFonts w:ascii="Times New Roman" w:hAnsi="Times New Roman"/>
          <w:color w:val="000000" w:themeColor="text1"/>
        </w:rPr>
        <w:t>Suryani.</w:t>
      </w:r>
      <w:r w:rsidRPr="00623199">
        <w:rPr>
          <w:rFonts w:ascii="Times New Roman" w:hAnsi="Times New Roman"/>
        </w:rPr>
        <w:t xml:space="preserve"> 2012. Analisis Faktor-faktor yan</w:t>
      </w:r>
      <w:r>
        <w:rPr>
          <w:rFonts w:ascii="Times New Roman" w:hAnsi="Times New Roman"/>
        </w:rPr>
        <w:t xml:space="preserve">g mempengaruhi Audit Delay Pada </w:t>
      </w:r>
      <w:r w:rsidRPr="00623199">
        <w:rPr>
          <w:rFonts w:ascii="Times New Roman" w:hAnsi="Times New Roman"/>
        </w:rPr>
        <w:t>Perusahaan Non-Keuangan yang terdafta</w:t>
      </w:r>
      <w:r>
        <w:rPr>
          <w:rFonts w:ascii="Times New Roman" w:hAnsi="Times New Roman"/>
        </w:rPr>
        <w:t xml:space="preserve">r di Bursa Efek Indonesia (BEI) </w:t>
      </w:r>
      <w:r w:rsidRPr="00623199">
        <w:rPr>
          <w:rFonts w:ascii="Times New Roman" w:hAnsi="Times New Roman"/>
        </w:rPr>
        <w:t xml:space="preserve">tahun 2008-2010. </w:t>
      </w:r>
      <w:r w:rsidRPr="0047675C">
        <w:rPr>
          <w:rFonts w:ascii="Times New Roman" w:hAnsi="Times New Roman"/>
          <w:i/>
        </w:rPr>
        <w:t>Skripsi</w:t>
      </w:r>
      <w:r w:rsidRPr="00623199">
        <w:rPr>
          <w:rFonts w:ascii="Times New Roman" w:hAnsi="Times New Roman"/>
        </w:rPr>
        <w:t>. Universitas Riau. Pekanbaru.</w:t>
      </w:r>
    </w:p>
    <w:p w:rsidR="007262B8" w:rsidRDefault="007262B8" w:rsidP="007262B8">
      <w:pPr>
        <w:spacing w:after="200"/>
        <w:ind w:left="539" w:hanging="539"/>
        <w:jc w:val="both"/>
        <w:rPr>
          <w:rFonts w:ascii="Times New Roman" w:hAnsi="Times New Roman"/>
        </w:rPr>
      </w:pPr>
      <w:r w:rsidRPr="00B40F6F">
        <w:rPr>
          <w:rFonts w:ascii="Times New Roman" w:hAnsi="Times New Roman"/>
        </w:rPr>
        <w:t xml:space="preserve">Trianto, Yugo. 2006. Faktor-Faktor yang Berpengaruh terhadap Audit Delay (Studi Empiris pada Perusahaan-Perusahaan Go public di Bursa Efek Indonesia), </w:t>
      </w:r>
      <w:r w:rsidRPr="0047675C">
        <w:rPr>
          <w:rFonts w:ascii="Times New Roman" w:hAnsi="Times New Roman"/>
          <w:i/>
        </w:rPr>
        <w:t>Skripsi</w:t>
      </w:r>
      <w:r w:rsidRPr="00B40F6F">
        <w:rPr>
          <w:rFonts w:ascii="Times New Roman" w:hAnsi="Times New Roman"/>
        </w:rPr>
        <w:t>, Universitas Pembangunan Nasional “Veteran” Yogyakarta.</w:t>
      </w:r>
    </w:p>
    <w:p w:rsidR="007262B8" w:rsidRPr="002001D1" w:rsidRDefault="007262B8" w:rsidP="007262B8">
      <w:pPr>
        <w:spacing w:after="200"/>
        <w:ind w:left="539" w:hanging="539"/>
        <w:jc w:val="both"/>
        <w:rPr>
          <w:rFonts w:ascii="Times New Roman" w:hAnsi="Times New Roman"/>
        </w:rPr>
      </w:pPr>
      <w:r w:rsidRPr="001163C4">
        <w:rPr>
          <w:rFonts w:ascii="Times New Roman" w:hAnsi="Times New Roman"/>
        </w:rPr>
        <w:t>Wirakusum</w:t>
      </w:r>
      <w:r>
        <w:rPr>
          <w:rFonts w:ascii="Times New Roman" w:hAnsi="Times New Roman"/>
        </w:rPr>
        <w:t xml:space="preserve">a, Made Gede. 2004. </w:t>
      </w:r>
      <w:r w:rsidRPr="001163C4">
        <w:rPr>
          <w:rFonts w:ascii="Times New Roman" w:hAnsi="Times New Roman"/>
        </w:rPr>
        <w:t>Faktor – F</w:t>
      </w:r>
      <w:r>
        <w:rPr>
          <w:rFonts w:ascii="Times New Roman" w:hAnsi="Times New Roman"/>
        </w:rPr>
        <w:t xml:space="preserve">aktor yang Mempengaruhi Rentang </w:t>
      </w:r>
      <w:r w:rsidRPr="001163C4">
        <w:rPr>
          <w:rFonts w:ascii="Times New Roman" w:hAnsi="Times New Roman"/>
        </w:rPr>
        <w:t>Waktu Penyajain Laporan Keuangan ke Publik ( St</w:t>
      </w:r>
      <w:r>
        <w:rPr>
          <w:rFonts w:ascii="Times New Roman" w:hAnsi="Times New Roman"/>
        </w:rPr>
        <w:t xml:space="preserve">udi Empiris Mengenai Keberadaan </w:t>
      </w:r>
      <w:r w:rsidRPr="001163C4">
        <w:rPr>
          <w:rFonts w:ascii="Times New Roman" w:hAnsi="Times New Roman"/>
        </w:rPr>
        <w:t>Divisi Internal Audit pada Perusahaan-Perusaha</w:t>
      </w:r>
      <w:r>
        <w:rPr>
          <w:rFonts w:ascii="Times New Roman" w:hAnsi="Times New Roman"/>
        </w:rPr>
        <w:t>an yang Terdaftar di Bursa Efek Jakarta )</w:t>
      </w:r>
      <w:r w:rsidRPr="001163C4">
        <w:rPr>
          <w:rFonts w:ascii="Times New Roman" w:hAnsi="Times New Roman"/>
        </w:rPr>
        <w:t xml:space="preserve">. </w:t>
      </w:r>
      <w:r w:rsidRPr="0047675C">
        <w:rPr>
          <w:rFonts w:ascii="Times New Roman" w:hAnsi="Times New Roman"/>
          <w:i/>
        </w:rPr>
        <w:t>Simposium Nasional Akuntansi VII</w:t>
      </w:r>
      <w:r>
        <w:rPr>
          <w:rFonts w:ascii="Times New Roman" w:hAnsi="Times New Roman"/>
        </w:rPr>
        <w:t>. (Desember ) : pp 1202 – 1222</w:t>
      </w:r>
    </w:p>
    <w:p w:rsidR="007262B8" w:rsidRDefault="007262B8" w:rsidP="007262B8">
      <w:pPr>
        <w:autoSpaceDE w:val="0"/>
        <w:autoSpaceDN w:val="0"/>
        <w:adjustRightInd w:val="0"/>
        <w:spacing w:after="200"/>
        <w:ind w:left="539" w:hanging="539"/>
        <w:jc w:val="both"/>
        <w:rPr>
          <w:rFonts w:ascii="Times New Roman" w:hAnsi="Times New Roman"/>
        </w:rPr>
      </w:pPr>
      <w:r w:rsidRPr="00EC3B14">
        <w:rPr>
          <w:rFonts w:ascii="Times New Roman" w:hAnsi="Times New Roman"/>
        </w:rPr>
        <w:lastRenderedPageBreak/>
        <w:t>Yulianti</w:t>
      </w:r>
      <w:r>
        <w:rPr>
          <w:rFonts w:ascii="Times New Roman" w:hAnsi="Times New Roman"/>
        </w:rPr>
        <w:t>,</w:t>
      </w:r>
      <w:r w:rsidRPr="00EC3B14">
        <w:rPr>
          <w:rFonts w:ascii="Times New Roman" w:hAnsi="Times New Roman"/>
        </w:rPr>
        <w:t xml:space="preserve"> Any. 2011. </w:t>
      </w:r>
      <w:r w:rsidRPr="00EC3B14">
        <w:rPr>
          <w:rFonts w:ascii="Times New Roman" w:hAnsi="Times New Roman"/>
          <w:iCs/>
        </w:rPr>
        <w:t xml:space="preserve">Faktor-faktor yang mempengaruhi Audit Delay (Studi Empiris pada perusahaan Manufaktur yang terdaftar di BEI pada tahun 2007-2008). </w:t>
      </w:r>
      <w:r w:rsidRPr="00F51D3D">
        <w:rPr>
          <w:rFonts w:ascii="Times New Roman" w:hAnsi="Times New Roman"/>
          <w:i/>
        </w:rPr>
        <w:t>Skripsi</w:t>
      </w:r>
      <w:r w:rsidRPr="00EC3B14">
        <w:rPr>
          <w:rFonts w:ascii="Times New Roman" w:hAnsi="Times New Roman"/>
        </w:rPr>
        <w:t>(tidak diterbitkan), Universitas</w:t>
      </w:r>
      <w:r>
        <w:rPr>
          <w:rFonts w:ascii="Times New Roman" w:hAnsi="Times New Roman"/>
        </w:rPr>
        <w:t>Negeri Yogyakarta</w:t>
      </w:r>
    </w:p>
    <w:p w:rsidR="007262B8" w:rsidRPr="00BB4350" w:rsidRDefault="007262B8" w:rsidP="007262B8">
      <w:pPr>
        <w:pStyle w:val="ListParagraph"/>
        <w:autoSpaceDE w:val="0"/>
        <w:autoSpaceDN w:val="0"/>
        <w:adjustRightInd w:val="0"/>
        <w:spacing w:after="240" w:line="480" w:lineRule="auto"/>
        <w:ind w:left="0"/>
        <w:jc w:val="both"/>
        <w:rPr>
          <w:rFonts w:ascii="Times New Roman" w:hAnsi="Times New Roman"/>
          <w:b/>
          <w:sz w:val="24"/>
          <w:szCs w:val="24"/>
        </w:rPr>
      </w:pPr>
    </w:p>
    <w:sectPr w:rsidR="007262B8" w:rsidRPr="00BB4350" w:rsidSect="00A57822">
      <w:headerReference w:type="even" r:id="rId13"/>
      <w:headerReference w:type="default" r:id="rId14"/>
      <w:footerReference w:type="even" r:id="rId15"/>
      <w:footerReference w:type="default" r:id="rId16"/>
      <w:headerReference w:type="first" r:id="rId17"/>
      <w:footerReference w:type="first" r:id="rId18"/>
      <w:pgSz w:w="12240" w:h="15840"/>
      <w:pgMar w:top="2268" w:right="1701" w:bottom="1701" w:left="2268" w:header="720" w:footer="720" w:gutter="0"/>
      <w:pgNumType w:start="145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EBD" w:rsidRDefault="00783EBD" w:rsidP="006F66A1">
      <w:r>
        <w:separator/>
      </w:r>
    </w:p>
  </w:endnote>
  <w:endnote w:type="continuationSeparator" w:id="1">
    <w:p w:rsidR="00783EBD" w:rsidRDefault="00783EBD" w:rsidP="006F66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8070000" w:usb2="00000010" w:usb3="00000000" w:csb0="00020009"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910"/>
      <w:docPartObj>
        <w:docPartGallery w:val="Page Numbers (Bottom of Page)"/>
        <w:docPartUnique/>
      </w:docPartObj>
    </w:sdtPr>
    <w:sdtEndPr>
      <w:rPr>
        <w:rFonts w:ascii="Times New Roman" w:hAnsi="Times New Roman"/>
      </w:rPr>
    </w:sdtEndPr>
    <w:sdtContent>
      <w:p w:rsidR="00A57822" w:rsidRDefault="00A57822">
        <w:pPr>
          <w:pStyle w:val="Footer"/>
          <w:jc w:val="right"/>
        </w:pPr>
        <w:r w:rsidRPr="00A57822">
          <w:rPr>
            <w:rFonts w:ascii="Times New Roman" w:hAnsi="Times New Roman"/>
          </w:rPr>
          <w:fldChar w:fldCharType="begin"/>
        </w:r>
        <w:r w:rsidRPr="00A57822">
          <w:rPr>
            <w:rFonts w:ascii="Times New Roman" w:hAnsi="Times New Roman"/>
          </w:rPr>
          <w:instrText xml:space="preserve"> PAGE   \* MERGEFORMAT </w:instrText>
        </w:r>
        <w:r w:rsidRPr="00A57822">
          <w:rPr>
            <w:rFonts w:ascii="Times New Roman" w:hAnsi="Times New Roman"/>
          </w:rPr>
          <w:fldChar w:fldCharType="separate"/>
        </w:r>
        <w:r>
          <w:rPr>
            <w:rFonts w:ascii="Times New Roman" w:hAnsi="Times New Roman"/>
            <w:noProof/>
          </w:rPr>
          <w:t>1458</w:t>
        </w:r>
        <w:r w:rsidRPr="00A57822">
          <w:rPr>
            <w:rFonts w:ascii="Times New Roman" w:hAnsi="Times New Roman"/>
          </w:rPr>
          <w:fldChar w:fldCharType="end"/>
        </w:r>
      </w:p>
    </w:sdtContent>
  </w:sdt>
  <w:p w:rsidR="00E1620B" w:rsidRPr="00B53D2C" w:rsidRDefault="00E1620B">
    <w:pPr>
      <w:pStyle w:val="Foo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520546"/>
      <w:docPartObj>
        <w:docPartGallery w:val="Page Numbers (Bottom of Page)"/>
        <w:docPartUnique/>
      </w:docPartObj>
    </w:sdtPr>
    <w:sdtContent>
      <w:p w:rsidR="00E1620B" w:rsidRPr="005B096B" w:rsidRDefault="00A56AC0">
        <w:pPr>
          <w:pStyle w:val="Footer"/>
          <w:jc w:val="right"/>
          <w:rPr>
            <w:rFonts w:ascii="Times New Roman" w:hAnsi="Times New Roman"/>
          </w:rPr>
        </w:pPr>
        <w:r w:rsidRPr="005B096B">
          <w:rPr>
            <w:rFonts w:ascii="Times New Roman" w:hAnsi="Times New Roman"/>
          </w:rPr>
          <w:fldChar w:fldCharType="begin"/>
        </w:r>
        <w:r w:rsidR="00E1620B" w:rsidRPr="005B096B">
          <w:rPr>
            <w:rFonts w:ascii="Times New Roman" w:hAnsi="Times New Roman"/>
          </w:rPr>
          <w:instrText xml:space="preserve"> PAGE   \* MERGEFORMAT </w:instrText>
        </w:r>
        <w:r w:rsidRPr="005B096B">
          <w:rPr>
            <w:rFonts w:ascii="Times New Roman" w:hAnsi="Times New Roman"/>
          </w:rPr>
          <w:fldChar w:fldCharType="separate"/>
        </w:r>
        <w:r w:rsidR="00A57822">
          <w:rPr>
            <w:rFonts w:ascii="Times New Roman" w:hAnsi="Times New Roman"/>
            <w:noProof/>
          </w:rPr>
          <w:t>1457</w:t>
        </w:r>
        <w:r w:rsidRPr="005B096B">
          <w:rPr>
            <w:rFonts w:ascii="Times New Roman" w:hAnsi="Times New Roman"/>
          </w:rPr>
          <w:fldChar w:fldCharType="end"/>
        </w:r>
      </w:p>
    </w:sdtContent>
  </w:sdt>
  <w:p w:rsidR="00E1620B" w:rsidRPr="005B096B" w:rsidRDefault="00E1620B">
    <w:pPr>
      <w:pStyle w:val="Foo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0302587"/>
      <w:docPartObj>
        <w:docPartGallery w:val="Page Numbers (Bottom of Page)"/>
        <w:docPartUnique/>
      </w:docPartObj>
    </w:sdtPr>
    <w:sdtContent>
      <w:p w:rsidR="00E1620B" w:rsidRPr="004F2266" w:rsidRDefault="00A56AC0">
        <w:pPr>
          <w:pStyle w:val="Footer"/>
          <w:jc w:val="center"/>
          <w:rPr>
            <w:rFonts w:ascii="Times New Roman" w:hAnsi="Times New Roman"/>
          </w:rPr>
        </w:pPr>
        <w:r w:rsidRPr="004F2266">
          <w:rPr>
            <w:rFonts w:ascii="Times New Roman" w:hAnsi="Times New Roman"/>
          </w:rPr>
          <w:fldChar w:fldCharType="begin"/>
        </w:r>
        <w:r w:rsidR="00E1620B" w:rsidRPr="004F2266">
          <w:rPr>
            <w:rFonts w:ascii="Times New Roman" w:hAnsi="Times New Roman"/>
          </w:rPr>
          <w:instrText xml:space="preserve"> PAGE   \* MERGEFORMAT </w:instrText>
        </w:r>
        <w:r w:rsidRPr="004F2266">
          <w:rPr>
            <w:rFonts w:ascii="Times New Roman" w:hAnsi="Times New Roman"/>
          </w:rPr>
          <w:fldChar w:fldCharType="separate"/>
        </w:r>
        <w:r w:rsidR="00E1620B">
          <w:rPr>
            <w:rFonts w:ascii="Times New Roman" w:hAnsi="Times New Roman"/>
            <w:noProof/>
          </w:rPr>
          <w:t>1</w:t>
        </w:r>
        <w:r w:rsidRPr="004F2266">
          <w:rPr>
            <w:rFonts w:ascii="Times New Roman" w:hAnsi="Times New Roman"/>
          </w:rPr>
          <w:fldChar w:fldCharType="end"/>
        </w:r>
      </w:p>
    </w:sdtContent>
  </w:sdt>
  <w:p w:rsidR="00E1620B" w:rsidRPr="004F2266" w:rsidRDefault="00E1620B">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EBD" w:rsidRDefault="00783EBD" w:rsidP="006F66A1">
      <w:r>
        <w:separator/>
      </w:r>
    </w:p>
  </w:footnote>
  <w:footnote w:type="continuationSeparator" w:id="1">
    <w:p w:rsidR="00783EBD" w:rsidRDefault="00783EBD" w:rsidP="006F6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20B" w:rsidRPr="00B27578" w:rsidRDefault="00E1620B" w:rsidP="002A7DF0">
    <w:pPr>
      <w:pStyle w:val="Header"/>
      <w:tabs>
        <w:tab w:val="clear" w:pos="9360"/>
        <w:tab w:val="right" w:pos="8222"/>
      </w:tabs>
      <w:jc w:val="right"/>
      <w:rPr>
        <w:rFonts w:asciiTheme="minorHAnsi" w:hAnsiTheme="minorHAnsi"/>
        <w:sz w:val="22"/>
        <w:szCs w:val="22"/>
      </w:rPr>
    </w:pPr>
    <w:r w:rsidRPr="00B27578">
      <w:rPr>
        <w:rFonts w:asciiTheme="minorHAnsi" w:hAnsiTheme="minorHAnsi"/>
        <w:sz w:val="22"/>
        <w:szCs w:val="22"/>
      </w:rPr>
      <w:t>Ni Putu Winda Wulandari</w:t>
    </w:r>
    <w:r w:rsidRPr="00B27578">
      <w:rPr>
        <w:rFonts w:asciiTheme="minorHAnsi" w:hAnsiTheme="minorHAnsi"/>
        <w:color w:val="000000"/>
        <w:sz w:val="22"/>
        <w:szCs w:val="22"/>
      </w:rPr>
      <w:t xml:space="preserve"> dan I Made Karya Utama. Reputasi Kantor</w:t>
    </w:r>
    <w:r w:rsidR="00A57822" w:rsidRPr="00B27578">
      <w:rPr>
        <w:rFonts w:asciiTheme="minorHAnsi" w:hAnsiTheme="minorHAnsi"/>
        <w:color w:val="000000"/>
        <w:sz w:val="22"/>
        <w:szCs w:val="22"/>
      </w:rPr>
      <w:t xml:space="preserve"> </w:t>
    </w:r>
    <w:r w:rsidRPr="00B27578">
      <w:rPr>
        <w:rFonts w:asciiTheme="minorHAnsi" w:hAnsiTheme="minorHAnsi"/>
        <w:color w:val="000000"/>
        <w:sz w:val="22"/>
        <w:szCs w:val="22"/>
      </w:rPr>
      <w:t>…</w:t>
    </w:r>
  </w:p>
  <w:p w:rsidR="00E1620B" w:rsidRPr="00B27578" w:rsidRDefault="00E1620B" w:rsidP="002A7DF0">
    <w:pPr>
      <w:pStyle w:val="Header"/>
      <w:rPr>
        <w:rFonts w:asciiTheme="minorHAnsi" w:hAnsiTheme="minorHAnsi"/>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822" w:rsidRPr="00A57822" w:rsidRDefault="00A57822" w:rsidP="00A57822">
    <w:pPr>
      <w:pStyle w:val="Header"/>
      <w:pBdr>
        <w:right w:val="single" w:sz="4" w:space="4" w:color="auto"/>
      </w:pBdr>
      <w:jc w:val="right"/>
      <w:rPr>
        <w:rFonts w:asciiTheme="minorHAnsi" w:hAnsiTheme="minorHAnsi" w:cstheme="minorHAnsi"/>
        <w:b/>
        <w:sz w:val="22"/>
        <w:szCs w:val="22"/>
      </w:rPr>
    </w:pPr>
    <w:r w:rsidRPr="00A57822">
      <w:rPr>
        <w:rFonts w:asciiTheme="minorHAnsi" w:hAnsiTheme="minorHAnsi" w:cstheme="minorHAnsi"/>
        <w:sz w:val="22"/>
        <w:szCs w:val="22"/>
      </w:rPr>
      <w:t xml:space="preserve">           </w:t>
    </w:r>
    <w:r w:rsidRPr="00A57822">
      <w:rPr>
        <w:rFonts w:asciiTheme="minorHAnsi" w:hAnsiTheme="minorHAnsi" w:cstheme="minorHAnsi"/>
        <w:b/>
        <w:sz w:val="22"/>
        <w:szCs w:val="22"/>
      </w:rPr>
      <w:t>ISSN: 2302-8556</w:t>
    </w:r>
  </w:p>
  <w:p w:rsidR="00A57822" w:rsidRPr="00A57822" w:rsidRDefault="00A57822" w:rsidP="00A57822">
    <w:pPr>
      <w:pStyle w:val="Header"/>
      <w:pBdr>
        <w:right w:val="single" w:sz="4" w:space="4" w:color="auto"/>
      </w:pBdr>
      <w:jc w:val="right"/>
      <w:rPr>
        <w:rFonts w:asciiTheme="minorHAnsi" w:hAnsiTheme="minorHAnsi" w:cstheme="minorHAnsi"/>
        <w:b/>
        <w:sz w:val="22"/>
        <w:szCs w:val="22"/>
      </w:rPr>
    </w:pPr>
    <w:r w:rsidRPr="00A57822">
      <w:rPr>
        <w:rFonts w:asciiTheme="minorHAnsi" w:hAnsiTheme="minorHAnsi" w:cstheme="minorHAnsi"/>
        <w:b/>
        <w:sz w:val="22"/>
        <w:szCs w:val="22"/>
      </w:rPr>
      <w:t xml:space="preserve">E-Jurnal Akuntansi Universitas Udayana </w:t>
    </w:r>
  </w:p>
  <w:p w:rsidR="00A57822" w:rsidRPr="00A57822" w:rsidRDefault="00A57822" w:rsidP="00A57822">
    <w:pPr>
      <w:pStyle w:val="Header"/>
      <w:pBdr>
        <w:right w:val="single" w:sz="4" w:space="4" w:color="auto"/>
      </w:pBdr>
      <w:jc w:val="right"/>
      <w:rPr>
        <w:rFonts w:asciiTheme="minorHAnsi" w:hAnsiTheme="minorHAnsi" w:cstheme="minorHAnsi"/>
        <w:b/>
        <w:sz w:val="22"/>
        <w:szCs w:val="22"/>
      </w:rPr>
    </w:pPr>
    <w:r w:rsidRPr="00A57822">
      <w:rPr>
        <w:rFonts w:asciiTheme="minorHAnsi" w:hAnsiTheme="minorHAnsi" w:cstheme="minorHAnsi"/>
        <w:b/>
        <w:sz w:val="22"/>
        <w:szCs w:val="22"/>
      </w:rPr>
      <w:t xml:space="preserve">Vol.17.2. November (2016): </w:t>
    </w:r>
    <w:r>
      <w:rPr>
        <w:rFonts w:asciiTheme="minorHAnsi" w:hAnsiTheme="minorHAnsi" w:cstheme="minorHAnsi"/>
        <w:b/>
        <w:sz w:val="22"/>
        <w:szCs w:val="22"/>
      </w:rPr>
      <w:t>1455-1484</w:t>
    </w:r>
  </w:p>
  <w:p w:rsidR="00B27578" w:rsidRDefault="00B2757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20B" w:rsidRPr="006F66A1" w:rsidRDefault="00E1620B" w:rsidP="006F66A1">
    <w:pPr>
      <w:pStyle w:val="Header"/>
      <w:tabs>
        <w:tab w:val="clear" w:pos="9360"/>
        <w:tab w:val="right" w:pos="8280"/>
      </w:tabs>
    </w:pPr>
    <w:r>
      <w:rPr>
        <w:rFonts w:ascii="TimesNewRomanPSMT" w:hAnsi="TimesNewRomanPSMT"/>
        <w:color w:val="000000"/>
        <w:sz w:val="22"/>
        <w:szCs w:val="22"/>
      </w:rPr>
      <w:t xml:space="preserve">E-Jurnal Akuntansi Universitas Udayana.15.9 (2015). 1-25 </w:t>
    </w:r>
    <w:r>
      <w:rPr>
        <w:rFonts w:ascii="TimesNewRomanPSMT" w:hAnsi="TimesNewRomanPSMT"/>
        <w:color w:val="000000"/>
        <w:sz w:val="22"/>
        <w:szCs w:val="22"/>
      </w:rPr>
      <w:tab/>
      <w:t>ISSN: 2302-8559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F3820"/>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F66A1"/>
    <w:rsid w:val="00020460"/>
    <w:rsid w:val="00045AE3"/>
    <w:rsid w:val="00051457"/>
    <w:rsid w:val="00054626"/>
    <w:rsid w:val="0005755C"/>
    <w:rsid w:val="00077209"/>
    <w:rsid w:val="00084AC5"/>
    <w:rsid w:val="000A3905"/>
    <w:rsid w:val="000B0349"/>
    <w:rsid w:val="000B2EC3"/>
    <w:rsid w:val="000C4CC1"/>
    <w:rsid w:val="000C68BF"/>
    <w:rsid w:val="000D5B53"/>
    <w:rsid w:val="000F6AB1"/>
    <w:rsid w:val="00106C2B"/>
    <w:rsid w:val="00115E6C"/>
    <w:rsid w:val="00134E38"/>
    <w:rsid w:val="00144F9E"/>
    <w:rsid w:val="00145DAB"/>
    <w:rsid w:val="0014778C"/>
    <w:rsid w:val="001504E9"/>
    <w:rsid w:val="00181721"/>
    <w:rsid w:val="0018653E"/>
    <w:rsid w:val="00190614"/>
    <w:rsid w:val="00193E6B"/>
    <w:rsid w:val="001B1958"/>
    <w:rsid w:val="001B40B1"/>
    <w:rsid w:val="001C03D2"/>
    <w:rsid w:val="001C4756"/>
    <w:rsid w:val="001C7593"/>
    <w:rsid w:val="001D1815"/>
    <w:rsid w:val="001D31B0"/>
    <w:rsid w:val="001D33B6"/>
    <w:rsid w:val="001E1EB9"/>
    <w:rsid w:val="00202653"/>
    <w:rsid w:val="002062C9"/>
    <w:rsid w:val="00207BAD"/>
    <w:rsid w:val="002113FB"/>
    <w:rsid w:val="002175C7"/>
    <w:rsid w:val="0022184D"/>
    <w:rsid w:val="00237E97"/>
    <w:rsid w:val="00244C6C"/>
    <w:rsid w:val="002719CF"/>
    <w:rsid w:val="002A5AC6"/>
    <w:rsid w:val="002A7DF0"/>
    <w:rsid w:val="002C6F94"/>
    <w:rsid w:val="002D45D3"/>
    <w:rsid w:val="002D4619"/>
    <w:rsid w:val="002E56C5"/>
    <w:rsid w:val="00330725"/>
    <w:rsid w:val="00355084"/>
    <w:rsid w:val="00362CF6"/>
    <w:rsid w:val="00367D3E"/>
    <w:rsid w:val="00367EAF"/>
    <w:rsid w:val="00392757"/>
    <w:rsid w:val="003A0D7A"/>
    <w:rsid w:val="003A1F75"/>
    <w:rsid w:val="003C272C"/>
    <w:rsid w:val="003E2552"/>
    <w:rsid w:val="003E75F1"/>
    <w:rsid w:val="00405416"/>
    <w:rsid w:val="00422776"/>
    <w:rsid w:val="004270CE"/>
    <w:rsid w:val="00431EAD"/>
    <w:rsid w:val="00437849"/>
    <w:rsid w:val="004432DF"/>
    <w:rsid w:val="00454264"/>
    <w:rsid w:val="00455FA4"/>
    <w:rsid w:val="0047073E"/>
    <w:rsid w:val="00483F69"/>
    <w:rsid w:val="00494B3F"/>
    <w:rsid w:val="004B5D67"/>
    <w:rsid w:val="004E7BFB"/>
    <w:rsid w:val="004E7DB8"/>
    <w:rsid w:val="004F2266"/>
    <w:rsid w:val="0050311E"/>
    <w:rsid w:val="005157D1"/>
    <w:rsid w:val="0051659F"/>
    <w:rsid w:val="005204C9"/>
    <w:rsid w:val="005247BB"/>
    <w:rsid w:val="00525677"/>
    <w:rsid w:val="005266DE"/>
    <w:rsid w:val="00555871"/>
    <w:rsid w:val="00555E4B"/>
    <w:rsid w:val="00556274"/>
    <w:rsid w:val="00561325"/>
    <w:rsid w:val="005735CC"/>
    <w:rsid w:val="005942F8"/>
    <w:rsid w:val="0059695A"/>
    <w:rsid w:val="005A1635"/>
    <w:rsid w:val="005B096B"/>
    <w:rsid w:val="005B1DB2"/>
    <w:rsid w:val="005B3E29"/>
    <w:rsid w:val="005B4CCD"/>
    <w:rsid w:val="005B67EF"/>
    <w:rsid w:val="005C2776"/>
    <w:rsid w:val="005C3719"/>
    <w:rsid w:val="005D0AA7"/>
    <w:rsid w:val="005D4B26"/>
    <w:rsid w:val="005D636A"/>
    <w:rsid w:val="005E7AF9"/>
    <w:rsid w:val="0060786C"/>
    <w:rsid w:val="00610529"/>
    <w:rsid w:val="006216AE"/>
    <w:rsid w:val="00623172"/>
    <w:rsid w:val="006233F9"/>
    <w:rsid w:val="00630EAA"/>
    <w:rsid w:val="006526BD"/>
    <w:rsid w:val="00656199"/>
    <w:rsid w:val="00665403"/>
    <w:rsid w:val="006751CB"/>
    <w:rsid w:val="00675287"/>
    <w:rsid w:val="00682250"/>
    <w:rsid w:val="00682344"/>
    <w:rsid w:val="006922D6"/>
    <w:rsid w:val="00692850"/>
    <w:rsid w:val="006A6B82"/>
    <w:rsid w:val="006F66A1"/>
    <w:rsid w:val="00702989"/>
    <w:rsid w:val="007111D1"/>
    <w:rsid w:val="00711D43"/>
    <w:rsid w:val="007262B8"/>
    <w:rsid w:val="00727B03"/>
    <w:rsid w:val="00731707"/>
    <w:rsid w:val="0073252A"/>
    <w:rsid w:val="007441B5"/>
    <w:rsid w:val="0075599B"/>
    <w:rsid w:val="00760696"/>
    <w:rsid w:val="007669EF"/>
    <w:rsid w:val="00767689"/>
    <w:rsid w:val="007704D8"/>
    <w:rsid w:val="00774ADE"/>
    <w:rsid w:val="00783EBD"/>
    <w:rsid w:val="00785222"/>
    <w:rsid w:val="00787011"/>
    <w:rsid w:val="007A4E47"/>
    <w:rsid w:val="007B2050"/>
    <w:rsid w:val="007E02F9"/>
    <w:rsid w:val="00800584"/>
    <w:rsid w:val="00841FE0"/>
    <w:rsid w:val="008441BB"/>
    <w:rsid w:val="0084640E"/>
    <w:rsid w:val="008516BE"/>
    <w:rsid w:val="008A092A"/>
    <w:rsid w:val="008A1A06"/>
    <w:rsid w:val="008A40F7"/>
    <w:rsid w:val="008A714E"/>
    <w:rsid w:val="008F0A5D"/>
    <w:rsid w:val="008F6E44"/>
    <w:rsid w:val="0091203A"/>
    <w:rsid w:val="009210F6"/>
    <w:rsid w:val="009242A4"/>
    <w:rsid w:val="009510C6"/>
    <w:rsid w:val="00951A07"/>
    <w:rsid w:val="009568F6"/>
    <w:rsid w:val="00972BE9"/>
    <w:rsid w:val="00972F88"/>
    <w:rsid w:val="009960EF"/>
    <w:rsid w:val="009C2913"/>
    <w:rsid w:val="009C6541"/>
    <w:rsid w:val="009D005C"/>
    <w:rsid w:val="009E194A"/>
    <w:rsid w:val="009E68C3"/>
    <w:rsid w:val="00A10DE7"/>
    <w:rsid w:val="00A30D42"/>
    <w:rsid w:val="00A343BA"/>
    <w:rsid w:val="00A365F5"/>
    <w:rsid w:val="00A41C63"/>
    <w:rsid w:val="00A44B33"/>
    <w:rsid w:val="00A5509E"/>
    <w:rsid w:val="00A55476"/>
    <w:rsid w:val="00A56AC0"/>
    <w:rsid w:val="00A57822"/>
    <w:rsid w:val="00A64B74"/>
    <w:rsid w:val="00A804E6"/>
    <w:rsid w:val="00A9542A"/>
    <w:rsid w:val="00AA04EC"/>
    <w:rsid w:val="00AA12CC"/>
    <w:rsid w:val="00AA14D3"/>
    <w:rsid w:val="00AA5F3F"/>
    <w:rsid w:val="00AC0298"/>
    <w:rsid w:val="00AC43AB"/>
    <w:rsid w:val="00AF62A6"/>
    <w:rsid w:val="00B113B4"/>
    <w:rsid w:val="00B16AFC"/>
    <w:rsid w:val="00B1740B"/>
    <w:rsid w:val="00B21A82"/>
    <w:rsid w:val="00B27578"/>
    <w:rsid w:val="00B355EE"/>
    <w:rsid w:val="00B3645A"/>
    <w:rsid w:val="00B40DFE"/>
    <w:rsid w:val="00B53D2C"/>
    <w:rsid w:val="00B75A45"/>
    <w:rsid w:val="00B94177"/>
    <w:rsid w:val="00BB4350"/>
    <w:rsid w:val="00BC16D5"/>
    <w:rsid w:val="00BC4F18"/>
    <w:rsid w:val="00BD1CC7"/>
    <w:rsid w:val="00BE2E1D"/>
    <w:rsid w:val="00BF1C3A"/>
    <w:rsid w:val="00BF6932"/>
    <w:rsid w:val="00C00380"/>
    <w:rsid w:val="00C03ABE"/>
    <w:rsid w:val="00C40A78"/>
    <w:rsid w:val="00C714BC"/>
    <w:rsid w:val="00C87BDB"/>
    <w:rsid w:val="00C91E94"/>
    <w:rsid w:val="00CB3FE3"/>
    <w:rsid w:val="00CC3B90"/>
    <w:rsid w:val="00CC71D1"/>
    <w:rsid w:val="00CF0349"/>
    <w:rsid w:val="00D13FD0"/>
    <w:rsid w:val="00D16049"/>
    <w:rsid w:val="00D16084"/>
    <w:rsid w:val="00D349D9"/>
    <w:rsid w:val="00D42AFF"/>
    <w:rsid w:val="00D47B61"/>
    <w:rsid w:val="00D56E52"/>
    <w:rsid w:val="00D81234"/>
    <w:rsid w:val="00D92045"/>
    <w:rsid w:val="00DA6904"/>
    <w:rsid w:val="00DB6944"/>
    <w:rsid w:val="00DC6D97"/>
    <w:rsid w:val="00DD1251"/>
    <w:rsid w:val="00DD5572"/>
    <w:rsid w:val="00DF12B0"/>
    <w:rsid w:val="00E03806"/>
    <w:rsid w:val="00E0558C"/>
    <w:rsid w:val="00E1620B"/>
    <w:rsid w:val="00E4360A"/>
    <w:rsid w:val="00E43B3E"/>
    <w:rsid w:val="00E45005"/>
    <w:rsid w:val="00E52B3B"/>
    <w:rsid w:val="00E572D6"/>
    <w:rsid w:val="00E60F71"/>
    <w:rsid w:val="00E677F0"/>
    <w:rsid w:val="00E722A5"/>
    <w:rsid w:val="00E86D72"/>
    <w:rsid w:val="00E87119"/>
    <w:rsid w:val="00E874F4"/>
    <w:rsid w:val="00E91D49"/>
    <w:rsid w:val="00E94F83"/>
    <w:rsid w:val="00EA6E27"/>
    <w:rsid w:val="00EB3FB6"/>
    <w:rsid w:val="00EB5FD9"/>
    <w:rsid w:val="00EC0C8A"/>
    <w:rsid w:val="00EC66E5"/>
    <w:rsid w:val="00EC68D9"/>
    <w:rsid w:val="00ED05AA"/>
    <w:rsid w:val="00ED6F95"/>
    <w:rsid w:val="00EF3EB4"/>
    <w:rsid w:val="00EF4EA7"/>
    <w:rsid w:val="00F0415D"/>
    <w:rsid w:val="00F1538B"/>
    <w:rsid w:val="00F23683"/>
    <w:rsid w:val="00F37DC6"/>
    <w:rsid w:val="00F71FB2"/>
    <w:rsid w:val="00F74F9A"/>
    <w:rsid w:val="00FA4525"/>
    <w:rsid w:val="00FB493B"/>
    <w:rsid w:val="00FC73A9"/>
    <w:rsid w:val="00FE69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A1"/>
    <w:pPr>
      <w:spacing w:after="0" w:line="240" w:lineRule="auto"/>
    </w:pPr>
    <w:rPr>
      <w:rFonts w:ascii="Cambria" w:eastAsia="MS Mincho" w:hAnsi="Cambria" w:cs="Times New Roman"/>
      <w:sz w:val="24"/>
      <w:szCs w:val="24"/>
    </w:rPr>
  </w:style>
  <w:style w:type="paragraph" w:styleId="Heading3">
    <w:name w:val="heading 3"/>
    <w:basedOn w:val="Normal"/>
    <w:link w:val="Heading3Char"/>
    <w:uiPriority w:val="9"/>
    <w:qFormat/>
    <w:rsid w:val="003A0D7A"/>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66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6F66A1"/>
    <w:pPr>
      <w:spacing w:after="0" w:line="240" w:lineRule="auto"/>
    </w:pPr>
    <w:rPr>
      <w:rFonts w:ascii="Calibri" w:eastAsia="Calibri" w:hAnsi="Calibri" w:cs="Times New Roman"/>
    </w:rPr>
  </w:style>
  <w:style w:type="character" w:customStyle="1" w:styleId="hps">
    <w:name w:val="hps"/>
    <w:basedOn w:val="DefaultParagraphFont"/>
    <w:rsid w:val="006F66A1"/>
  </w:style>
  <w:style w:type="character" w:styleId="Hyperlink">
    <w:name w:val="Hyperlink"/>
    <w:basedOn w:val="DefaultParagraphFont"/>
    <w:uiPriority w:val="99"/>
    <w:unhideWhenUsed/>
    <w:rsid w:val="006F66A1"/>
    <w:rPr>
      <w:color w:val="0000FF"/>
      <w:u w:val="single"/>
    </w:rPr>
  </w:style>
  <w:style w:type="paragraph" w:styleId="Header">
    <w:name w:val="header"/>
    <w:basedOn w:val="Normal"/>
    <w:link w:val="HeaderChar"/>
    <w:uiPriority w:val="99"/>
    <w:unhideWhenUsed/>
    <w:rsid w:val="006F66A1"/>
    <w:pPr>
      <w:tabs>
        <w:tab w:val="center" w:pos="4680"/>
        <w:tab w:val="right" w:pos="9360"/>
      </w:tabs>
    </w:pPr>
  </w:style>
  <w:style w:type="character" w:customStyle="1" w:styleId="HeaderChar">
    <w:name w:val="Header Char"/>
    <w:basedOn w:val="DefaultParagraphFont"/>
    <w:link w:val="Header"/>
    <w:uiPriority w:val="99"/>
    <w:rsid w:val="006F66A1"/>
    <w:rPr>
      <w:rFonts w:ascii="Cambria" w:eastAsia="MS Mincho" w:hAnsi="Cambria" w:cs="Times New Roman"/>
      <w:sz w:val="24"/>
      <w:szCs w:val="24"/>
    </w:rPr>
  </w:style>
  <w:style w:type="paragraph" w:styleId="Footer">
    <w:name w:val="footer"/>
    <w:basedOn w:val="Normal"/>
    <w:link w:val="FooterChar"/>
    <w:uiPriority w:val="99"/>
    <w:unhideWhenUsed/>
    <w:rsid w:val="006F66A1"/>
    <w:pPr>
      <w:tabs>
        <w:tab w:val="center" w:pos="4680"/>
        <w:tab w:val="right" w:pos="9360"/>
      </w:tabs>
    </w:pPr>
  </w:style>
  <w:style w:type="character" w:customStyle="1" w:styleId="FooterChar">
    <w:name w:val="Footer Char"/>
    <w:basedOn w:val="DefaultParagraphFont"/>
    <w:link w:val="Footer"/>
    <w:uiPriority w:val="99"/>
    <w:rsid w:val="006F66A1"/>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6F66A1"/>
    <w:rPr>
      <w:rFonts w:ascii="Tahoma" w:hAnsi="Tahoma" w:cs="Tahoma"/>
      <w:sz w:val="16"/>
      <w:szCs w:val="16"/>
    </w:rPr>
  </w:style>
  <w:style w:type="character" w:customStyle="1" w:styleId="BalloonTextChar">
    <w:name w:val="Balloon Text Char"/>
    <w:basedOn w:val="DefaultParagraphFont"/>
    <w:link w:val="BalloonText"/>
    <w:uiPriority w:val="99"/>
    <w:semiHidden/>
    <w:rsid w:val="006F66A1"/>
    <w:rPr>
      <w:rFonts w:ascii="Tahoma" w:eastAsia="MS Mincho" w:hAnsi="Tahoma" w:cs="Tahoma"/>
      <w:sz w:val="16"/>
      <w:szCs w:val="16"/>
    </w:rPr>
  </w:style>
  <w:style w:type="paragraph" w:styleId="ListParagraph">
    <w:name w:val="List Paragraph"/>
    <w:basedOn w:val="Normal"/>
    <w:link w:val="ListParagraphChar"/>
    <w:uiPriority w:val="34"/>
    <w:qFormat/>
    <w:rsid w:val="005B1DB2"/>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locked/>
    <w:rsid w:val="005B1DB2"/>
    <w:rPr>
      <w:rFonts w:ascii="Calibri" w:eastAsia="Calibri" w:hAnsi="Calibri" w:cs="Times New Roman"/>
    </w:rPr>
  </w:style>
  <w:style w:type="table" w:styleId="TableGrid">
    <w:name w:val="Table Grid"/>
    <w:basedOn w:val="TableNormal"/>
    <w:uiPriority w:val="59"/>
    <w:rsid w:val="00455FA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A0D7A"/>
    <w:rPr>
      <w:rFonts w:ascii="Times New Roman" w:eastAsia="Times New Roman" w:hAnsi="Times New Roman" w:cs="Times New Roman"/>
      <w:b/>
      <w:bCs/>
      <w:sz w:val="27"/>
      <w:szCs w:val="27"/>
    </w:rPr>
  </w:style>
  <w:style w:type="character" w:customStyle="1" w:styleId="thread-subject">
    <w:name w:val="thread-subject"/>
    <w:basedOn w:val="DefaultParagraphFont"/>
    <w:rsid w:val="003A0D7A"/>
  </w:style>
  <w:style w:type="character" w:customStyle="1" w:styleId="from">
    <w:name w:val="from"/>
    <w:basedOn w:val="DefaultParagraphFont"/>
    <w:rsid w:val="003A0D7A"/>
  </w:style>
  <w:style w:type="character" w:customStyle="1" w:styleId="shorttext">
    <w:name w:val="short_text"/>
    <w:basedOn w:val="DefaultParagraphFont"/>
    <w:rsid w:val="00422776"/>
  </w:style>
  <w:style w:type="numbering" w:customStyle="1" w:styleId="Style1">
    <w:name w:val="Style1"/>
    <w:uiPriority w:val="99"/>
    <w:rsid w:val="00EF4EA7"/>
    <w:pPr>
      <w:numPr>
        <w:numId w:val="1"/>
      </w:numPr>
    </w:pPr>
  </w:style>
  <w:style w:type="character" w:customStyle="1" w:styleId="A2">
    <w:name w:val="A2"/>
    <w:uiPriority w:val="99"/>
    <w:rsid w:val="0005755C"/>
    <w:rPr>
      <w:b/>
      <w:bCs/>
      <w:i/>
      <w:iCs/>
      <w:color w:val="000000"/>
      <w:sz w:val="32"/>
      <w:szCs w:val="32"/>
    </w:rPr>
  </w:style>
  <w:style w:type="character" w:customStyle="1" w:styleId="A1">
    <w:name w:val="A1"/>
    <w:uiPriority w:val="99"/>
    <w:rsid w:val="0005755C"/>
    <w:rPr>
      <w:b/>
      <w:bCs/>
      <w:color w:val="000000"/>
    </w:rPr>
  </w:style>
  <w:style w:type="paragraph" w:customStyle="1" w:styleId="ParaAttribute5">
    <w:name w:val="ParaAttribute5"/>
    <w:rsid w:val="00630EAA"/>
    <w:pPr>
      <w:widowControl w:val="0"/>
      <w:wordWrap w:val="0"/>
      <w:spacing w:after="0" w:line="240" w:lineRule="auto"/>
      <w:ind w:firstLine="720"/>
      <w:jc w:val="both"/>
    </w:pPr>
    <w:rPr>
      <w:rFonts w:ascii="Times New Roman" w:eastAsia="Batang" w:hAnsi="Times New Roman" w:cs="Times New Roman"/>
      <w:sz w:val="20"/>
      <w:szCs w:val="20"/>
    </w:rPr>
  </w:style>
  <w:style w:type="paragraph" w:customStyle="1" w:styleId="ParaAttribute8">
    <w:name w:val="ParaAttribute8"/>
    <w:rsid w:val="00630EAA"/>
    <w:pPr>
      <w:widowControl w:val="0"/>
      <w:wordWrap w:val="0"/>
      <w:spacing w:after="0" w:line="240" w:lineRule="auto"/>
      <w:jc w:val="both"/>
    </w:pPr>
    <w:rPr>
      <w:rFonts w:ascii="Times New Roman" w:eastAsia="Batang" w:hAnsi="Times New Roman" w:cs="Times New Roman"/>
      <w:sz w:val="20"/>
      <w:szCs w:val="20"/>
    </w:rPr>
  </w:style>
  <w:style w:type="character" w:customStyle="1" w:styleId="CharAttribute1">
    <w:name w:val="CharAttribute1"/>
    <w:rsid w:val="00630EAA"/>
    <w:rPr>
      <w:rFonts w:ascii="Times New Roman" w:eastAsia="Times New Roman" w:hAnsi="Times New Roman"/>
      <w:sz w:val="24"/>
    </w:rPr>
  </w:style>
  <w:style w:type="character" w:customStyle="1" w:styleId="CharAttribute10">
    <w:name w:val="CharAttribute10"/>
    <w:rsid w:val="00630EAA"/>
    <w:rPr>
      <w:rFonts w:ascii="Times New Roman" w:eastAsia="Calibri" w:hAnsi="Calibri"/>
      <w:sz w:val="24"/>
    </w:rPr>
  </w:style>
  <w:style w:type="character" w:customStyle="1" w:styleId="CharAttribute4">
    <w:name w:val="CharAttribute4"/>
    <w:rsid w:val="00630EAA"/>
    <w:rPr>
      <w:rFonts w:ascii="Times New Roman" w:eastAsia="Times New Roman" w:hAnsi="Times New Roman"/>
      <w:b/>
      <w:sz w:val="24"/>
    </w:rPr>
  </w:style>
  <w:style w:type="paragraph" w:customStyle="1" w:styleId="ParaAttribute64">
    <w:name w:val="ParaAttribute64"/>
    <w:rsid w:val="00630EAA"/>
    <w:pPr>
      <w:widowControl w:val="0"/>
      <w:tabs>
        <w:tab w:val="left" w:pos="426"/>
      </w:tabs>
      <w:wordWrap w:val="0"/>
      <w:spacing w:line="240" w:lineRule="auto"/>
      <w:jc w:val="both"/>
    </w:pPr>
    <w:rPr>
      <w:rFonts w:ascii="Times New Roman" w:eastAsia="Batang" w:hAnsi="Times New Roman" w:cs="Times New Roman"/>
      <w:sz w:val="20"/>
      <w:szCs w:val="20"/>
    </w:rPr>
  </w:style>
  <w:style w:type="character" w:customStyle="1" w:styleId="CharAttribute23">
    <w:name w:val="CharAttribute23"/>
    <w:rsid w:val="00630EAA"/>
    <w:rPr>
      <w:rFonts w:ascii="Times New Roman" w:eastAsia="Times New Roman" w:hAnsi="Times New Roman"/>
      <w:b/>
      <w:sz w:val="24"/>
      <w:vertAlign w:val="subscript"/>
    </w:rPr>
  </w:style>
  <w:style w:type="character" w:customStyle="1" w:styleId="CharAttribute26">
    <w:name w:val="CharAttribute26"/>
    <w:rsid w:val="00DD5572"/>
    <w:rPr>
      <w:rFonts w:ascii="Times New Roman" w:eastAsia="TimesNewRomanPSMT" w:hAnsi="TimesNewRomanPSMT"/>
      <w:sz w:val="24"/>
    </w:rPr>
  </w:style>
  <w:style w:type="paragraph" w:customStyle="1" w:styleId="ParaAttribute70">
    <w:name w:val="ParaAttribute70"/>
    <w:rsid w:val="00DD5572"/>
    <w:pPr>
      <w:widowControl w:val="0"/>
      <w:wordWrap w:val="0"/>
      <w:spacing w:line="240" w:lineRule="auto"/>
      <w:ind w:firstLine="567"/>
      <w:jc w:val="both"/>
    </w:pPr>
    <w:rPr>
      <w:rFonts w:ascii="Times New Roman" w:eastAsia="Batang" w:hAnsi="Times New Roman" w:cs="Times New Roman"/>
      <w:sz w:val="20"/>
      <w:szCs w:val="20"/>
    </w:rPr>
  </w:style>
  <w:style w:type="character" w:customStyle="1" w:styleId="CharAttribute9">
    <w:name w:val="CharAttribute9"/>
    <w:rsid w:val="005266DE"/>
    <w:rPr>
      <w:rFonts w:ascii="Times New Roman" w:eastAsia="Times New Roman" w:hAnsi="Times New Roman"/>
      <w:sz w:val="22"/>
    </w:rPr>
  </w:style>
  <w:style w:type="paragraph" w:customStyle="1" w:styleId="ParaAttribute37">
    <w:name w:val="ParaAttribute37"/>
    <w:rsid w:val="001D1815"/>
    <w:pPr>
      <w:widowControl w:val="0"/>
      <w:wordWrap w:val="0"/>
      <w:spacing w:after="0" w:line="240" w:lineRule="auto"/>
      <w:ind w:firstLine="709"/>
      <w:jc w:val="both"/>
    </w:pPr>
    <w:rPr>
      <w:rFonts w:ascii="Times New Roman" w:eastAsia="Batang" w:hAnsi="Times New Roman" w:cs="Times New Roman"/>
      <w:sz w:val="20"/>
      <w:szCs w:val="20"/>
    </w:rPr>
  </w:style>
  <w:style w:type="character" w:customStyle="1" w:styleId="CharAttribute27">
    <w:name w:val="CharAttribute27"/>
    <w:rsid w:val="001D1815"/>
    <w:rPr>
      <w:rFonts w:ascii="Times New Roman" w:eastAsia="TimesNewRomanPSMT" w:hAnsi="TimesNewRomanPSMT"/>
      <w:i/>
      <w:sz w:val="24"/>
    </w:rPr>
  </w:style>
  <w:style w:type="paragraph" w:customStyle="1" w:styleId="ParaAttribute38">
    <w:name w:val="ParaAttribute38"/>
    <w:rsid w:val="00D81234"/>
    <w:pPr>
      <w:widowControl w:val="0"/>
      <w:wordWrap w:val="0"/>
      <w:spacing w:line="240" w:lineRule="auto"/>
      <w:ind w:firstLine="709"/>
      <w:jc w:val="both"/>
    </w:pPr>
    <w:rPr>
      <w:rFonts w:ascii="Times New Roman" w:eastAsia="Batang" w:hAnsi="Times New Roman" w:cs="Times New Roman"/>
      <w:sz w:val="20"/>
      <w:szCs w:val="20"/>
    </w:rPr>
  </w:style>
  <w:style w:type="character" w:customStyle="1" w:styleId="CharAttribute16">
    <w:name w:val="CharAttribute16"/>
    <w:rsid w:val="00D81234"/>
    <w:rPr>
      <w:rFonts w:ascii="Times New Roman" w:eastAsia="Times New Roman" w:hAnsi="Times New Roman"/>
      <w:sz w:val="24"/>
      <w:vertAlign w:val="subscript"/>
    </w:rPr>
  </w:style>
  <w:style w:type="paragraph" w:customStyle="1" w:styleId="ParaAttribute88">
    <w:name w:val="ParaAttribute88"/>
    <w:rsid w:val="00D81234"/>
    <w:pPr>
      <w:widowControl w:val="0"/>
      <w:tabs>
        <w:tab w:val="left" w:pos="1843"/>
      </w:tabs>
      <w:wordWrap w:val="0"/>
      <w:spacing w:after="0" w:line="240" w:lineRule="auto"/>
      <w:ind w:left="720" w:firstLine="720"/>
      <w:jc w:val="both"/>
    </w:pPr>
    <w:rPr>
      <w:rFonts w:ascii="Times New Roman" w:eastAsia="Batang" w:hAnsi="Times New Roman" w:cs="Times New Roman"/>
      <w:sz w:val="20"/>
      <w:szCs w:val="20"/>
    </w:rPr>
  </w:style>
  <w:style w:type="paragraph" w:styleId="NormalWeb">
    <w:name w:val="Normal (Web)"/>
    <w:basedOn w:val="Normal"/>
    <w:uiPriority w:val="99"/>
    <w:unhideWhenUsed/>
    <w:rsid w:val="009510C6"/>
    <w:pPr>
      <w:spacing w:before="100" w:beforeAutospacing="1" w:after="100" w:afterAutospacing="1"/>
    </w:pPr>
    <w:rPr>
      <w:rFonts w:ascii="Times New Roman" w:eastAsia="Times New Roman" w:hAnsi="Times New Roman"/>
      <w:lang w:val="id-ID" w:eastAsia="id-ID"/>
    </w:rPr>
  </w:style>
  <w:style w:type="paragraph" w:customStyle="1" w:styleId="Normal1">
    <w:name w:val="Normal1"/>
    <w:link w:val="normalChar"/>
    <w:rsid w:val="005D0AA7"/>
    <w:rPr>
      <w:rFonts w:ascii="Calibri" w:eastAsia="Calibri" w:hAnsi="Calibri" w:cs="Calibri"/>
      <w:color w:val="000000"/>
    </w:rPr>
  </w:style>
  <w:style w:type="character" w:customStyle="1" w:styleId="normalChar">
    <w:name w:val="normal Char"/>
    <w:basedOn w:val="DefaultParagraphFont"/>
    <w:link w:val="Normal1"/>
    <w:rsid w:val="005D0AA7"/>
    <w:rPr>
      <w:rFonts w:ascii="Calibri" w:eastAsia="Calibri" w:hAnsi="Calibri" w:cs="Calibri"/>
      <w:color w:val="000000"/>
    </w:rPr>
  </w:style>
  <w:style w:type="paragraph" w:customStyle="1" w:styleId="daftargambar">
    <w:name w:val="daftargambar"/>
    <w:basedOn w:val="Normal1"/>
    <w:link w:val="daftargambarChar"/>
    <w:qFormat/>
    <w:rsid w:val="004432DF"/>
    <w:pPr>
      <w:spacing w:after="0" w:line="240" w:lineRule="auto"/>
      <w:jc w:val="center"/>
    </w:pPr>
    <w:rPr>
      <w:rFonts w:ascii="Times New Roman" w:eastAsia="Times New Roman" w:hAnsi="Times New Roman" w:cs="Times New Roman"/>
      <w:b/>
      <w:sz w:val="24"/>
      <w:szCs w:val="24"/>
    </w:rPr>
  </w:style>
  <w:style w:type="character" w:customStyle="1" w:styleId="daftargambarChar">
    <w:name w:val="daftargambar Char"/>
    <w:basedOn w:val="normalChar"/>
    <w:link w:val="daftargambar"/>
    <w:rsid w:val="004432DF"/>
    <w:rPr>
      <w:rFonts w:ascii="Times New Roman" w:eastAsia="Times New Roman" w:hAnsi="Times New Roman" w:cs="Times New Roman"/>
      <w:b/>
      <w:color w:val="000000"/>
      <w:sz w:val="24"/>
      <w:szCs w:val="24"/>
    </w:rPr>
  </w:style>
  <w:style w:type="table" w:customStyle="1" w:styleId="3">
    <w:name w:val="3"/>
    <w:basedOn w:val="TableNormal"/>
    <w:rsid w:val="00AA04EC"/>
    <w:rPr>
      <w:rFonts w:ascii="Calibri" w:eastAsia="Calibri" w:hAnsi="Calibri" w:cs="Calibri"/>
      <w:color w:val="000000"/>
    </w:rPr>
    <w:tblPr>
      <w:tblStyleRowBandSize w:val="1"/>
      <w:tblStyleColBandSize w:val="1"/>
      <w:tblInd w:w="0" w:type="dxa"/>
      <w:tblCellMar>
        <w:top w:w="0" w:type="dxa"/>
        <w:left w:w="108" w:type="dxa"/>
        <w:bottom w:w="0" w:type="dxa"/>
        <w:right w:w="108" w:type="dxa"/>
      </w:tblCellMar>
    </w:tblPr>
  </w:style>
  <w:style w:type="paragraph" w:customStyle="1" w:styleId="Daftartabel">
    <w:name w:val="Daftartabel"/>
    <w:basedOn w:val="Normal1"/>
    <w:link w:val="DaftartabelChar"/>
    <w:qFormat/>
    <w:rsid w:val="00AA04EC"/>
    <w:pPr>
      <w:widowControl w:val="0"/>
      <w:spacing w:after="0" w:line="240" w:lineRule="auto"/>
      <w:jc w:val="center"/>
    </w:pPr>
    <w:rPr>
      <w:rFonts w:ascii="Times New Roman" w:eastAsia="Times New Roman" w:hAnsi="Times New Roman" w:cs="Times New Roman"/>
      <w:b/>
      <w:sz w:val="24"/>
      <w:szCs w:val="24"/>
    </w:rPr>
  </w:style>
  <w:style w:type="character" w:customStyle="1" w:styleId="DaftartabelChar">
    <w:name w:val="Daftartabel Char"/>
    <w:basedOn w:val="normalChar"/>
    <w:link w:val="Daftartabel"/>
    <w:rsid w:val="00AA04EC"/>
    <w:rPr>
      <w:rFonts w:ascii="Times New Roman" w:eastAsia="Times New Roman" w:hAnsi="Times New Roman" w:cs="Times New Roman"/>
      <w:b/>
      <w:color w:val="000000"/>
      <w:sz w:val="24"/>
      <w:szCs w:val="24"/>
    </w:rPr>
  </w:style>
  <w:style w:type="paragraph" w:customStyle="1" w:styleId="SUBBAB">
    <w:name w:val="SUBBAB"/>
    <w:basedOn w:val="Normal1"/>
    <w:link w:val="SUBBABChar"/>
    <w:qFormat/>
    <w:rsid w:val="007B2050"/>
    <w:pPr>
      <w:spacing w:after="0" w:line="480" w:lineRule="auto"/>
      <w:contextualSpacing/>
      <w:jc w:val="both"/>
    </w:pPr>
    <w:rPr>
      <w:rFonts w:ascii="Times New Roman" w:eastAsia="Times New Roman" w:hAnsi="Times New Roman" w:cs="Times New Roman"/>
      <w:b/>
      <w:sz w:val="24"/>
      <w:szCs w:val="24"/>
    </w:rPr>
  </w:style>
  <w:style w:type="character" w:customStyle="1" w:styleId="SUBBABChar">
    <w:name w:val="SUBBAB Char"/>
    <w:basedOn w:val="normalChar"/>
    <w:link w:val="SUBBAB"/>
    <w:rsid w:val="007B2050"/>
    <w:rPr>
      <w:rFonts w:ascii="Times New Roman" w:eastAsia="Times New Roman" w:hAnsi="Times New Roman" w:cs="Times New Roman"/>
      <w:b/>
      <w:color w:val="000000"/>
      <w:sz w:val="24"/>
      <w:szCs w:val="24"/>
    </w:rPr>
  </w:style>
  <w:style w:type="paragraph" w:styleId="BodyText">
    <w:name w:val="Body Text"/>
    <w:basedOn w:val="Normal"/>
    <w:link w:val="BodyTextChar"/>
    <w:rsid w:val="00CC71D1"/>
    <w:pPr>
      <w:widowControl w:val="0"/>
      <w:suppressAutoHyphens/>
      <w:spacing w:after="140" w:line="288" w:lineRule="auto"/>
    </w:pPr>
    <w:rPr>
      <w:rFonts w:ascii="Liberation Serif" w:eastAsia="Droid Sans Fallback" w:hAnsi="Liberation Serif" w:cs="FreeSans"/>
      <w:kern w:val="1"/>
      <w:lang w:eastAsia="zh-CN" w:bidi="hi-IN"/>
    </w:rPr>
  </w:style>
  <w:style w:type="character" w:customStyle="1" w:styleId="BodyTextChar">
    <w:name w:val="Body Text Char"/>
    <w:basedOn w:val="DefaultParagraphFont"/>
    <w:link w:val="BodyText"/>
    <w:rsid w:val="00CC71D1"/>
    <w:rPr>
      <w:rFonts w:ascii="Liberation Serif" w:eastAsia="Droid Sans Fallback" w:hAnsi="Liberation Serif" w:cs="FreeSans"/>
      <w:kern w:val="1"/>
      <w:sz w:val="24"/>
      <w:szCs w:val="24"/>
      <w:lang w:eastAsia="zh-CN" w:bidi="hi-IN"/>
    </w:rPr>
  </w:style>
  <w:style w:type="paragraph" w:customStyle="1" w:styleId="1">
    <w:name w:val="1"/>
    <w:basedOn w:val="Normal"/>
    <w:link w:val="1Char"/>
    <w:qFormat/>
    <w:rsid w:val="004E7BFB"/>
    <w:pPr>
      <w:spacing w:line="480" w:lineRule="auto"/>
      <w:ind w:firstLine="851"/>
      <w:jc w:val="both"/>
    </w:pPr>
    <w:rPr>
      <w:rFonts w:ascii="Times New Roman" w:eastAsia="Calibri" w:hAnsi="Times New Roman"/>
    </w:rPr>
  </w:style>
  <w:style w:type="character" w:customStyle="1" w:styleId="1Char">
    <w:name w:val="1 Char"/>
    <w:link w:val="1"/>
    <w:rsid w:val="004E7BFB"/>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10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a450@y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x.co.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dx.co.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270BB-C1FD-4C2B-8CF9-C8691C70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7273</Words>
  <Characters>41457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5</cp:revision>
  <dcterms:created xsi:type="dcterms:W3CDTF">2016-10-17T03:00:00Z</dcterms:created>
  <dcterms:modified xsi:type="dcterms:W3CDTF">2016-11-07T00:14:00Z</dcterms:modified>
</cp:coreProperties>
</file>